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FFF12" w14:textId="77777777" w:rsidR="009132D9" w:rsidRDefault="003852C8" w:rsidP="009132D9">
      <w:pPr>
        <w:pStyle w:val="NormalWeb"/>
        <w:spacing w:before="0" w:beforeAutospacing="0" w:after="0" w:afterAutospacing="0"/>
        <w:rPr>
          <w:b/>
          <w:color w:val="000000"/>
          <w:sz w:val="28"/>
        </w:rPr>
      </w:pPr>
      <w:r w:rsidRPr="009132D9">
        <w:rPr>
          <w:b/>
          <w:color w:val="000000"/>
          <w:sz w:val="28"/>
        </w:rPr>
        <w:t xml:space="preserve">Many Rivers Regional Housing Aboriginal Corporation </w:t>
      </w:r>
    </w:p>
    <w:p w14:paraId="7417D4F4" w14:textId="6299DFBD" w:rsidR="003852C8" w:rsidRPr="009132D9" w:rsidRDefault="003852C8" w:rsidP="009132D9">
      <w:pPr>
        <w:pStyle w:val="NormalWeb"/>
        <w:spacing w:before="0" w:beforeAutospacing="0" w:after="0" w:afterAutospacing="0"/>
        <w:rPr>
          <w:b/>
          <w:color w:val="000000"/>
          <w:sz w:val="28"/>
        </w:rPr>
      </w:pPr>
      <w:r w:rsidRPr="009132D9">
        <w:rPr>
          <w:b/>
          <w:color w:val="000000"/>
          <w:sz w:val="28"/>
        </w:rPr>
        <w:t>Strategic Plan 2020-202</w:t>
      </w:r>
      <w:r w:rsidR="00D51FC2">
        <w:rPr>
          <w:b/>
          <w:color w:val="000000"/>
          <w:sz w:val="28"/>
        </w:rPr>
        <w:t>2</w:t>
      </w:r>
    </w:p>
    <w:p w14:paraId="1D678AA6" w14:textId="0561B157" w:rsidR="00F267FD" w:rsidRPr="00624145" w:rsidRDefault="00F267FD" w:rsidP="00F267FD">
      <w:pPr>
        <w:pStyle w:val="NormalWeb"/>
        <w:rPr>
          <w:b/>
          <w:color w:val="000000"/>
          <w:sz w:val="24"/>
        </w:rPr>
      </w:pPr>
      <w:r w:rsidRPr="00624145">
        <w:rPr>
          <w:b/>
          <w:color w:val="000000"/>
          <w:sz w:val="24"/>
        </w:rPr>
        <w:t xml:space="preserve">Acknowledgement </w:t>
      </w:r>
    </w:p>
    <w:p w14:paraId="482CA5CA" w14:textId="61B33E58" w:rsidR="003852C8" w:rsidRPr="005D785D" w:rsidRDefault="003852C8" w:rsidP="00F267FD">
      <w:pPr>
        <w:spacing w:after="0"/>
        <w:jc w:val="both"/>
        <w:rPr>
          <w:bCs/>
          <w:iCs/>
          <w:color w:val="212121"/>
          <w:bdr w:val="none" w:sz="0" w:space="0" w:color="auto" w:frame="1"/>
          <w:lang w:eastAsia="en-AU"/>
        </w:rPr>
      </w:pPr>
      <w:r w:rsidRPr="005D785D">
        <w:rPr>
          <w:bCs/>
          <w:iCs/>
          <w:color w:val="212121"/>
          <w:bdr w:val="none" w:sz="0" w:space="0" w:color="auto" w:frame="1"/>
          <w:lang w:eastAsia="en-AU"/>
        </w:rPr>
        <w:t>Many Rivers Regional Housing works across the lands of many peoples.</w:t>
      </w:r>
    </w:p>
    <w:p w14:paraId="73E10F9F" w14:textId="77777777" w:rsidR="003852C8" w:rsidRPr="005D785D" w:rsidRDefault="003852C8" w:rsidP="00F267FD">
      <w:pPr>
        <w:spacing w:after="0"/>
        <w:jc w:val="both"/>
        <w:rPr>
          <w:bCs/>
          <w:iCs/>
          <w:color w:val="212121"/>
          <w:bdr w:val="none" w:sz="0" w:space="0" w:color="auto" w:frame="1"/>
          <w:lang w:eastAsia="en-AU"/>
        </w:rPr>
      </w:pPr>
      <w:r w:rsidRPr="005D785D">
        <w:rPr>
          <w:bCs/>
          <w:iCs/>
          <w:color w:val="212121"/>
          <w:bdr w:val="none" w:sz="0" w:space="0" w:color="auto" w:frame="1"/>
          <w:lang w:eastAsia="en-AU"/>
        </w:rPr>
        <w:t>Many Rivers acknowledges the Traditional Owners as the custodians of the land.</w:t>
      </w:r>
    </w:p>
    <w:p w14:paraId="1C212D6A" w14:textId="77777777" w:rsidR="003852C8" w:rsidRPr="005D785D" w:rsidRDefault="003852C8" w:rsidP="00F267FD">
      <w:pPr>
        <w:spacing w:after="0"/>
        <w:jc w:val="both"/>
        <w:rPr>
          <w:bCs/>
          <w:iCs/>
          <w:color w:val="212121"/>
          <w:bdr w:val="none" w:sz="0" w:space="0" w:color="auto" w:frame="1"/>
          <w:lang w:eastAsia="en-AU"/>
        </w:rPr>
      </w:pPr>
      <w:r w:rsidRPr="005D785D">
        <w:rPr>
          <w:bCs/>
          <w:iCs/>
          <w:color w:val="212121"/>
          <w:bdr w:val="none" w:sz="0" w:space="0" w:color="auto" w:frame="1"/>
          <w:lang w:eastAsia="en-AU"/>
        </w:rPr>
        <w:t>We recognise their connections to lands, waters, territories and resources.</w:t>
      </w:r>
    </w:p>
    <w:p w14:paraId="3FD80FA7" w14:textId="77777777" w:rsidR="003852C8" w:rsidRPr="005D785D" w:rsidRDefault="003852C8" w:rsidP="00F267FD">
      <w:pPr>
        <w:spacing w:after="0"/>
        <w:jc w:val="both"/>
        <w:rPr>
          <w:bCs/>
          <w:iCs/>
          <w:color w:val="212121"/>
          <w:bdr w:val="none" w:sz="0" w:space="0" w:color="auto" w:frame="1"/>
          <w:lang w:eastAsia="en-AU"/>
        </w:rPr>
      </w:pPr>
      <w:r w:rsidRPr="005D785D">
        <w:rPr>
          <w:bCs/>
          <w:iCs/>
          <w:color w:val="212121"/>
          <w:bdr w:val="none" w:sz="0" w:space="0" w:color="auto" w:frame="1"/>
          <w:lang w:eastAsia="en-AU"/>
        </w:rPr>
        <w:t>We pay respect to Australia’s First Peoples and their Elders past, present and future.</w:t>
      </w:r>
    </w:p>
    <w:p w14:paraId="4449D6C2" w14:textId="77777777" w:rsidR="001C1833" w:rsidRDefault="001C1833" w:rsidP="003852C8">
      <w:pPr>
        <w:pStyle w:val="NormalWeb"/>
        <w:rPr>
          <w:b/>
          <w:color w:val="000000"/>
          <w:sz w:val="24"/>
        </w:rPr>
      </w:pPr>
    </w:p>
    <w:p w14:paraId="3A1FBFB0" w14:textId="2179449C" w:rsidR="003852C8" w:rsidRPr="00624145" w:rsidRDefault="003852C8" w:rsidP="003852C8">
      <w:pPr>
        <w:pStyle w:val="NormalWeb"/>
        <w:rPr>
          <w:b/>
          <w:color w:val="000000"/>
          <w:sz w:val="24"/>
        </w:rPr>
      </w:pPr>
      <w:r w:rsidRPr="00624145">
        <w:rPr>
          <w:b/>
          <w:color w:val="000000"/>
          <w:sz w:val="24"/>
        </w:rPr>
        <w:t xml:space="preserve">From </w:t>
      </w:r>
      <w:r w:rsidR="00624145" w:rsidRPr="00624145">
        <w:rPr>
          <w:b/>
          <w:color w:val="000000"/>
          <w:sz w:val="24"/>
        </w:rPr>
        <w:t>our</w:t>
      </w:r>
      <w:r w:rsidRPr="00624145">
        <w:rPr>
          <w:b/>
          <w:color w:val="000000"/>
          <w:sz w:val="24"/>
        </w:rPr>
        <w:t xml:space="preserve"> Board</w:t>
      </w:r>
    </w:p>
    <w:p w14:paraId="043485A7" w14:textId="24192242" w:rsidR="009132D9" w:rsidRDefault="00F267FD" w:rsidP="009132D9">
      <w:r>
        <w:t xml:space="preserve">Welcome to our Strategic Plan. </w:t>
      </w:r>
      <w:r w:rsidR="009132D9">
        <w:t xml:space="preserve">This plan outlines our vision for the coming three years. It sets our priorities and goals, designed to further strengthen the services we deliver. </w:t>
      </w:r>
    </w:p>
    <w:p w14:paraId="4E0929CB" w14:textId="32012BD6" w:rsidR="002C34C0" w:rsidRDefault="002C34C0" w:rsidP="002C34C0">
      <w:r>
        <w:rPr>
          <w:rFonts w:eastAsia="Times New Roman" w:cstheme="minorHAnsi"/>
          <w:lang w:eastAsia="en-AU"/>
        </w:rPr>
        <w:t xml:space="preserve">Many Rivers is, proudly, </w:t>
      </w:r>
      <w:r>
        <w:t>an Aboriginal community-controlled, Indigenous Corporation. Culture is at the centre of everything we do.</w:t>
      </w:r>
    </w:p>
    <w:p w14:paraId="07264762" w14:textId="0420E76E" w:rsidR="002C34C0" w:rsidRDefault="002C34C0" w:rsidP="002C34C0">
      <w:pPr>
        <w:rPr>
          <w:rFonts w:eastAsia="Times New Roman" w:cstheme="minorHAnsi"/>
          <w:lang w:eastAsia="en-AU"/>
        </w:rPr>
      </w:pPr>
      <w:r>
        <w:rPr>
          <w:rFonts w:eastAsia="Times New Roman" w:cstheme="minorHAnsi"/>
          <w:lang w:eastAsia="en-AU"/>
        </w:rPr>
        <w:t xml:space="preserve">We provide </w:t>
      </w:r>
      <w:r>
        <w:rPr>
          <w:rFonts w:cstheme="minorHAnsi"/>
        </w:rPr>
        <w:t>p</w:t>
      </w:r>
      <w:r>
        <w:rPr>
          <w:rFonts w:eastAsia="Times New Roman" w:cstheme="minorHAnsi"/>
          <w:lang w:eastAsia="en-AU"/>
        </w:rPr>
        <w:t xml:space="preserve">roperty management services across northern NSW through partnerships with Aboriginal communities and organisations. We recognise that housing is the foundation for wellbeing. We work with tenants and communities to provide safe, stable housing. </w:t>
      </w:r>
      <w:r>
        <w:rPr>
          <w:rFonts w:cstheme="minorHAnsi"/>
        </w:rPr>
        <w:t>Community development is at the heart of our service model.</w:t>
      </w:r>
    </w:p>
    <w:p w14:paraId="5C20DB0D" w14:textId="77777777" w:rsidR="009132D9" w:rsidRDefault="002C34C0" w:rsidP="009132D9">
      <w:r>
        <w:t xml:space="preserve">We are proud of the ambitious targets within this plan. For all indicators, where there is a sector benchmark, our target exceeds that </w:t>
      </w:r>
      <w:r w:rsidR="009132D9">
        <w:t>benchmark</w:t>
      </w:r>
      <w:r>
        <w:t>.</w:t>
      </w:r>
      <w:r w:rsidR="009132D9">
        <w:t xml:space="preserve"> Our progress will be monitored every 6 months.</w:t>
      </w:r>
    </w:p>
    <w:p w14:paraId="7C255C64" w14:textId="230B160F" w:rsidR="009132D9" w:rsidRDefault="009132D9" w:rsidP="00F267FD">
      <w:r>
        <w:t xml:space="preserve">As a leading Aboriginal Community Housing Provider, this is </w:t>
      </w:r>
      <w:r w:rsidR="00F44E63">
        <w:t>our</w:t>
      </w:r>
      <w:r>
        <w:t xml:space="preserve"> plan of how we will deliver for our partner communities. </w:t>
      </w:r>
    </w:p>
    <w:p w14:paraId="77BB41CC" w14:textId="50F8025A" w:rsidR="00F267FD" w:rsidRPr="009132D9" w:rsidRDefault="009132D9" w:rsidP="003852C8">
      <w:pPr>
        <w:pStyle w:val="NormalWeb"/>
        <w:rPr>
          <w:color w:val="000000"/>
          <w:sz w:val="24"/>
          <w:szCs w:val="24"/>
        </w:rPr>
      </w:pPr>
      <w:r w:rsidRPr="009132D9">
        <w:rPr>
          <w:color w:val="000000"/>
          <w:sz w:val="24"/>
          <w:szCs w:val="24"/>
        </w:rPr>
        <w:t>Regards,</w:t>
      </w:r>
    </w:p>
    <w:p w14:paraId="557F2510" w14:textId="05B2DCCA" w:rsidR="009132D9" w:rsidRPr="009132D9" w:rsidRDefault="009132D9" w:rsidP="009132D9">
      <w:pPr>
        <w:pStyle w:val="NormalWeb"/>
        <w:spacing w:before="0" w:beforeAutospacing="0" w:after="0" w:afterAutospacing="0"/>
        <w:rPr>
          <w:color w:val="000000"/>
          <w:sz w:val="24"/>
          <w:szCs w:val="24"/>
        </w:rPr>
      </w:pPr>
      <w:r w:rsidRPr="009132D9">
        <w:rPr>
          <w:color w:val="000000"/>
          <w:sz w:val="24"/>
          <w:szCs w:val="24"/>
        </w:rPr>
        <w:t>Daniel Morrison</w:t>
      </w:r>
    </w:p>
    <w:p w14:paraId="39CCD593" w14:textId="1DF08144" w:rsidR="009132D9" w:rsidRPr="009132D9" w:rsidRDefault="009132D9" w:rsidP="009132D9">
      <w:pPr>
        <w:pStyle w:val="NormalWeb"/>
        <w:spacing w:before="0" w:beforeAutospacing="0" w:after="0" w:afterAutospacing="0"/>
        <w:rPr>
          <w:color w:val="000000"/>
          <w:sz w:val="24"/>
          <w:szCs w:val="24"/>
        </w:rPr>
      </w:pPr>
      <w:r w:rsidRPr="009132D9">
        <w:rPr>
          <w:color w:val="000000"/>
          <w:sz w:val="24"/>
          <w:szCs w:val="24"/>
        </w:rPr>
        <w:t>Chairperson</w:t>
      </w:r>
    </w:p>
    <w:p w14:paraId="7E836963" w14:textId="77777777" w:rsidR="001C1833" w:rsidRDefault="001C1833" w:rsidP="009132D9">
      <w:pPr>
        <w:pStyle w:val="NormalWeb"/>
        <w:rPr>
          <w:b/>
          <w:color w:val="000000"/>
          <w:sz w:val="24"/>
        </w:rPr>
      </w:pPr>
    </w:p>
    <w:p w14:paraId="5536AC32" w14:textId="5FC0B242" w:rsidR="003852C8" w:rsidRPr="00624145" w:rsidRDefault="003852C8" w:rsidP="009132D9">
      <w:pPr>
        <w:pStyle w:val="NormalWeb"/>
        <w:rPr>
          <w:b/>
          <w:color w:val="000000"/>
          <w:sz w:val="24"/>
        </w:rPr>
      </w:pPr>
      <w:r w:rsidRPr="00624145">
        <w:rPr>
          <w:b/>
          <w:color w:val="000000"/>
          <w:sz w:val="24"/>
        </w:rPr>
        <w:t>Our vision</w:t>
      </w:r>
      <w:r w:rsidR="00624145" w:rsidRPr="00624145">
        <w:rPr>
          <w:b/>
          <w:color w:val="000000"/>
          <w:sz w:val="24"/>
        </w:rPr>
        <w:t>. O</w:t>
      </w:r>
      <w:r w:rsidRPr="00624145">
        <w:rPr>
          <w:b/>
          <w:color w:val="000000"/>
          <w:sz w:val="24"/>
        </w:rPr>
        <w:t xml:space="preserve">ur purpose </w:t>
      </w:r>
    </w:p>
    <w:p w14:paraId="21F4D2E0" w14:textId="3698AED2" w:rsidR="003852C8" w:rsidRPr="009132D9" w:rsidRDefault="009132D9" w:rsidP="003852C8">
      <w:r>
        <w:t>Our vision:</w:t>
      </w:r>
      <w:r w:rsidR="003852C8" w:rsidRPr="009132D9">
        <w:t xml:space="preserve"> Quality housing; Thriving Communities.</w:t>
      </w:r>
    </w:p>
    <w:p w14:paraId="484A9D9D" w14:textId="399721D7" w:rsidR="003852C8" w:rsidRDefault="009132D9" w:rsidP="003852C8">
      <w:r>
        <w:t>Purpose:</w:t>
      </w:r>
      <w:r w:rsidR="003852C8">
        <w:t xml:space="preserve"> </w:t>
      </w:r>
      <w:r w:rsidR="003852C8" w:rsidRPr="009132D9">
        <w:t>Closing the Gap in Aboriginal wellbeing through housing, partnerships and community development.</w:t>
      </w:r>
    </w:p>
    <w:p w14:paraId="61FF7D5D" w14:textId="77777777" w:rsidR="001C1833" w:rsidRDefault="001C1833">
      <w:pPr>
        <w:spacing w:after="0"/>
        <w:rPr>
          <w:rFonts w:cs="Calibri"/>
          <w:b/>
          <w:color w:val="000000"/>
          <w:szCs w:val="22"/>
          <w:lang w:eastAsia="en-AU"/>
        </w:rPr>
      </w:pPr>
      <w:r>
        <w:rPr>
          <w:b/>
          <w:color w:val="000000"/>
        </w:rPr>
        <w:br w:type="page"/>
      </w:r>
    </w:p>
    <w:p w14:paraId="0E57A472" w14:textId="7854A309" w:rsidR="003852C8" w:rsidRPr="00624145" w:rsidRDefault="003852C8" w:rsidP="00624145">
      <w:pPr>
        <w:pStyle w:val="NormalWeb"/>
        <w:rPr>
          <w:b/>
          <w:color w:val="000000"/>
          <w:sz w:val="24"/>
        </w:rPr>
      </w:pPr>
      <w:r w:rsidRPr="00624145">
        <w:rPr>
          <w:b/>
          <w:color w:val="000000"/>
          <w:sz w:val="24"/>
        </w:rPr>
        <w:lastRenderedPageBreak/>
        <w:t xml:space="preserve">Our </w:t>
      </w:r>
      <w:r w:rsidR="00624145" w:rsidRPr="00624145">
        <w:rPr>
          <w:b/>
          <w:color w:val="000000"/>
          <w:sz w:val="24"/>
        </w:rPr>
        <w:t xml:space="preserve">strategic </w:t>
      </w:r>
      <w:r w:rsidRPr="00624145">
        <w:rPr>
          <w:b/>
          <w:color w:val="000000"/>
          <w:sz w:val="24"/>
        </w:rPr>
        <w:t>pillars</w:t>
      </w:r>
    </w:p>
    <w:p w14:paraId="1DD1F8B5" w14:textId="59AEDF7C" w:rsidR="00624145" w:rsidRPr="001C1833" w:rsidRDefault="00624145" w:rsidP="00624145">
      <w:pPr>
        <w:pStyle w:val="NormalWeb"/>
        <w:spacing w:before="0" w:beforeAutospacing="0" w:after="0" w:afterAutospacing="0"/>
        <w:rPr>
          <w:color w:val="000000"/>
          <w:sz w:val="24"/>
          <w:szCs w:val="24"/>
          <w:u w:val="single"/>
        </w:rPr>
      </w:pPr>
      <w:r w:rsidRPr="001C1833">
        <w:rPr>
          <w:color w:val="000000"/>
          <w:sz w:val="24"/>
          <w:szCs w:val="24"/>
          <w:u w:val="single"/>
        </w:rPr>
        <w:t>Pillar 1 - Our Tenants</w:t>
      </w:r>
    </w:p>
    <w:p w14:paraId="445C0CC0" w14:textId="77777777" w:rsidR="001C1833" w:rsidRDefault="001C1833" w:rsidP="00624145">
      <w:pPr>
        <w:spacing w:after="0"/>
        <w:rPr>
          <w:rFonts w:asciiTheme="minorHAnsi" w:hAnsiTheme="minorHAnsi" w:cstheme="minorHAnsi"/>
        </w:rPr>
      </w:pPr>
    </w:p>
    <w:p w14:paraId="6454C92D" w14:textId="48A0CC66" w:rsidR="005B1CB4" w:rsidRDefault="00624145" w:rsidP="00624145">
      <w:r w:rsidRPr="00624145">
        <w:t>At Many Rivers, we are committed to support</w:t>
      </w:r>
      <w:r w:rsidR="001C1833">
        <w:t>ing tenants to maintain their tenanc</w:t>
      </w:r>
      <w:r w:rsidR="005B1CB4">
        <w:t>ies</w:t>
      </w:r>
      <w:r w:rsidR="001C1833">
        <w:t xml:space="preserve"> in a safe and comfortable home</w:t>
      </w:r>
      <w:r w:rsidR="005B1CB4">
        <w:t>s through the provision of culturally safe services.</w:t>
      </w:r>
      <w:r w:rsidR="001C1833">
        <w:t xml:space="preserve"> </w:t>
      </w:r>
    </w:p>
    <w:p w14:paraId="191E06EF" w14:textId="3E13C440" w:rsidR="001C1833" w:rsidRDefault="001C1833" w:rsidP="00624145">
      <w:r>
        <w:t xml:space="preserve">We do this by having a dedicated and skilled housing team. </w:t>
      </w:r>
      <w:r w:rsidR="005B1CB4">
        <w:t xml:space="preserve">Cultural safety and tenant welfare underpin </w:t>
      </w:r>
      <w:r w:rsidR="00EA315A">
        <w:t>our</w:t>
      </w:r>
      <w:r w:rsidR="005B1CB4">
        <w:t xml:space="preserve"> approach to property management. </w:t>
      </w:r>
      <w:r w:rsidR="00EA315A">
        <w:t>We</w:t>
      </w:r>
      <w:r>
        <w:t xml:space="preserve"> provide </w:t>
      </w:r>
      <w:r w:rsidR="005B1CB4">
        <w:t xml:space="preserve">a </w:t>
      </w:r>
      <w:r>
        <w:t>responsive</w:t>
      </w:r>
      <w:r w:rsidR="005B1CB4">
        <w:t xml:space="preserve"> service for repairs and maintenance 24/7. They manage </w:t>
      </w:r>
      <w:r>
        <w:t xml:space="preserve">rent collection and arrears management </w:t>
      </w:r>
      <w:r w:rsidR="005B1CB4">
        <w:t>in a fair and transparent manner,</w:t>
      </w:r>
      <w:r>
        <w:t xml:space="preserve"> and </w:t>
      </w:r>
      <w:r w:rsidR="005B1CB4">
        <w:t xml:space="preserve">link tenants to appropriate, local </w:t>
      </w:r>
      <w:r>
        <w:t>wrap-around services for support when required.</w:t>
      </w:r>
    </w:p>
    <w:p w14:paraId="571A1710" w14:textId="77777777" w:rsidR="00624145" w:rsidRPr="00624145" w:rsidRDefault="00624145" w:rsidP="00624145">
      <w:pPr>
        <w:spacing w:after="0"/>
        <w:rPr>
          <w:rFonts w:asciiTheme="minorHAnsi" w:hAnsiTheme="minorHAnsi" w:cstheme="minorHAnsi"/>
        </w:rPr>
      </w:pPr>
    </w:p>
    <w:p w14:paraId="3509265A" w14:textId="77777777" w:rsidR="00624145" w:rsidRPr="005B1CB4" w:rsidRDefault="00624145" w:rsidP="00624145">
      <w:pPr>
        <w:pStyle w:val="NormalWeb"/>
        <w:spacing w:before="0" w:beforeAutospacing="0" w:after="0" w:afterAutospacing="0"/>
        <w:rPr>
          <w:color w:val="000000"/>
          <w:sz w:val="24"/>
          <w:szCs w:val="24"/>
          <w:u w:val="single"/>
        </w:rPr>
      </w:pPr>
      <w:r w:rsidRPr="005B1CB4">
        <w:rPr>
          <w:color w:val="000000"/>
          <w:sz w:val="24"/>
          <w:szCs w:val="24"/>
          <w:u w:val="single"/>
        </w:rPr>
        <w:t>Pillar 2 - Our partner communities</w:t>
      </w:r>
    </w:p>
    <w:p w14:paraId="33CB72C2" w14:textId="77777777" w:rsidR="005B1CB4" w:rsidRDefault="005B1CB4" w:rsidP="00624145">
      <w:pPr>
        <w:pStyle w:val="NormalWeb"/>
        <w:spacing w:before="0" w:beforeAutospacing="0" w:after="0" w:afterAutospacing="0"/>
        <w:rPr>
          <w:color w:val="000000"/>
          <w:sz w:val="24"/>
          <w:szCs w:val="24"/>
        </w:rPr>
      </w:pPr>
    </w:p>
    <w:p w14:paraId="5CA102B6" w14:textId="77777777" w:rsidR="007963A9" w:rsidRDefault="005B1CB4" w:rsidP="005B1CB4">
      <w:pPr>
        <w:pStyle w:val="NormalWeb"/>
        <w:shd w:val="clear" w:color="auto" w:fill="FFFFFF"/>
        <w:spacing w:before="0" w:beforeAutospacing="0" w:after="0" w:afterAutospacing="0"/>
        <w:textAlignment w:val="baseline"/>
        <w:rPr>
          <w:rFonts w:asciiTheme="minorHAnsi" w:hAnsiTheme="minorHAnsi" w:cstheme="minorHAnsi"/>
          <w:sz w:val="24"/>
          <w:szCs w:val="24"/>
        </w:rPr>
      </w:pPr>
      <w:r w:rsidRPr="00624145">
        <w:rPr>
          <w:rFonts w:asciiTheme="minorHAnsi" w:hAnsiTheme="minorHAnsi" w:cstheme="minorHAnsi"/>
          <w:sz w:val="24"/>
          <w:szCs w:val="24"/>
        </w:rPr>
        <w:t>Aboriginal community housing is an asset for the community. Our services are designed to ensure the protection</w:t>
      </w:r>
      <w:r>
        <w:rPr>
          <w:rFonts w:asciiTheme="minorHAnsi" w:hAnsiTheme="minorHAnsi" w:cstheme="minorHAnsi"/>
          <w:sz w:val="24"/>
          <w:szCs w:val="24"/>
        </w:rPr>
        <w:t xml:space="preserve"> and longevity</w:t>
      </w:r>
      <w:r w:rsidRPr="00624145">
        <w:rPr>
          <w:rFonts w:asciiTheme="minorHAnsi" w:hAnsiTheme="minorHAnsi" w:cstheme="minorHAnsi"/>
          <w:sz w:val="24"/>
          <w:szCs w:val="24"/>
        </w:rPr>
        <w:t xml:space="preserve"> of these assets.</w:t>
      </w:r>
      <w:r>
        <w:rPr>
          <w:rFonts w:asciiTheme="minorHAnsi" w:hAnsiTheme="minorHAnsi" w:cstheme="minorHAnsi"/>
          <w:sz w:val="24"/>
          <w:szCs w:val="24"/>
        </w:rPr>
        <w:t xml:space="preserve"> </w:t>
      </w:r>
    </w:p>
    <w:p w14:paraId="071A9CF6" w14:textId="77777777" w:rsidR="007963A9" w:rsidRDefault="007963A9" w:rsidP="005B1CB4">
      <w:pPr>
        <w:pStyle w:val="NormalWeb"/>
        <w:shd w:val="clear" w:color="auto" w:fill="FFFFFF"/>
        <w:spacing w:before="0" w:beforeAutospacing="0" w:after="0" w:afterAutospacing="0"/>
        <w:textAlignment w:val="baseline"/>
        <w:rPr>
          <w:rFonts w:asciiTheme="minorHAnsi" w:hAnsiTheme="minorHAnsi" w:cstheme="minorHAnsi"/>
          <w:sz w:val="24"/>
          <w:szCs w:val="24"/>
        </w:rPr>
      </w:pPr>
    </w:p>
    <w:p w14:paraId="033092FF" w14:textId="75241830" w:rsidR="002F3C25" w:rsidRDefault="005B1CB4" w:rsidP="005B1CB4">
      <w:pPr>
        <w:pStyle w:val="NormalWeb"/>
        <w:shd w:val="clear" w:color="auto" w:fill="FFFFFF"/>
        <w:spacing w:before="0" w:beforeAutospacing="0" w:after="0" w:afterAutospacing="0"/>
        <w:textAlignment w:val="baseline"/>
        <w:rPr>
          <w:rFonts w:asciiTheme="minorHAnsi" w:hAnsiTheme="minorHAnsi" w:cstheme="minorHAnsi"/>
          <w:sz w:val="24"/>
          <w:szCs w:val="24"/>
        </w:rPr>
      </w:pPr>
      <w:r>
        <w:rPr>
          <w:rFonts w:asciiTheme="minorHAnsi" w:hAnsiTheme="minorHAnsi" w:cstheme="minorHAnsi"/>
          <w:sz w:val="24"/>
          <w:szCs w:val="24"/>
        </w:rPr>
        <w:t>Our service arrangements with owners are built on the principles of partnership. Our goal is to work together to see our partner communities thrive</w:t>
      </w:r>
      <w:r w:rsidR="002F3C25">
        <w:rPr>
          <w:rFonts w:asciiTheme="minorHAnsi" w:hAnsiTheme="minorHAnsi" w:cstheme="minorHAnsi"/>
          <w:sz w:val="24"/>
          <w:szCs w:val="24"/>
        </w:rPr>
        <w:t xml:space="preserve">. </w:t>
      </w:r>
    </w:p>
    <w:p w14:paraId="04C0D497" w14:textId="74A84EBD" w:rsidR="002F3C25" w:rsidRDefault="002F3C25" w:rsidP="005B1CB4">
      <w:pPr>
        <w:pStyle w:val="NormalWeb"/>
        <w:shd w:val="clear" w:color="auto" w:fill="FFFFFF"/>
        <w:spacing w:before="0" w:beforeAutospacing="0" w:after="0" w:afterAutospacing="0"/>
        <w:textAlignment w:val="baseline"/>
        <w:rPr>
          <w:rFonts w:asciiTheme="minorHAnsi" w:hAnsiTheme="minorHAnsi" w:cstheme="minorHAnsi"/>
          <w:sz w:val="24"/>
          <w:szCs w:val="24"/>
        </w:rPr>
      </w:pPr>
    </w:p>
    <w:p w14:paraId="77E1971A" w14:textId="5B0BBBC8" w:rsidR="002F3C25" w:rsidRDefault="002F3C25" w:rsidP="005B1CB4">
      <w:pPr>
        <w:pStyle w:val="NormalWeb"/>
        <w:shd w:val="clear" w:color="auto" w:fill="FFFFFF"/>
        <w:spacing w:before="0" w:beforeAutospacing="0" w:after="0" w:afterAutospacing="0"/>
        <w:textAlignment w:val="baseline"/>
        <w:rPr>
          <w:rFonts w:asciiTheme="minorHAnsi" w:hAnsiTheme="minorHAnsi" w:cstheme="minorHAnsi"/>
          <w:sz w:val="24"/>
          <w:szCs w:val="24"/>
        </w:rPr>
      </w:pPr>
      <w:r>
        <w:rPr>
          <w:rFonts w:asciiTheme="minorHAnsi" w:hAnsiTheme="minorHAnsi" w:cstheme="minorHAnsi"/>
          <w:sz w:val="24"/>
          <w:szCs w:val="24"/>
        </w:rPr>
        <w:t>We work for the financial viability of our partners’ housing portfolios and seek opportunities to increase the</w:t>
      </w:r>
      <w:r w:rsidR="00EA315A">
        <w:rPr>
          <w:rFonts w:asciiTheme="minorHAnsi" w:hAnsiTheme="minorHAnsi" w:cstheme="minorHAnsi"/>
          <w:sz w:val="24"/>
          <w:szCs w:val="24"/>
        </w:rPr>
        <w:t xml:space="preserve"> size and value of their </w:t>
      </w:r>
      <w:r>
        <w:rPr>
          <w:rFonts w:asciiTheme="minorHAnsi" w:hAnsiTheme="minorHAnsi" w:cstheme="minorHAnsi"/>
          <w:sz w:val="24"/>
          <w:szCs w:val="24"/>
        </w:rPr>
        <w:t>housing portfolio whe</w:t>
      </w:r>
      <w:r w:rsidR="00EA315A">
        <w:rPr>
          <w:rFonts w:asciiTheme="minorHAnsi" w:hAnsiTheme="minorHAnsi" w:cstheme="minorHAnsi"/>
          <w:sz w:val="24"/>
          <w:szCs w:val="24"/>
        </w:rPr>
        <w:t>ne</w:t>
      </w:r>
      <w:r>
        <w:rPr>
          <w:rFonts w:asciiTheme="minorHAnsi" w:hAnsiTheme="minorHAnsi" w:cstheme="minorHAnsi"/>
          <w:sz w:val="24"/>
          <w:szCs w:val="24"/>
        </w:rPr>
        <w:t>ver possible.</w:t>
      </w:r>
    </w:p>
    <w:p w14:paraId="53674EAB" w14:textId="77777777" w:rsidR="002F3C25" w:rsidRDefault="002F3C25" w:rsidP="005B1CB4">
      <w:pPr>
        <w:pStyle w:val="NormalWeb"/>
        <w:shd w:val="clear" w:color="auto" w:fill="FFFFFF"/>
        <w:spacing w:before="0" w:beforeAutospacing="0" w:after="0" w:afterAutospacing="0"/>
        <w:textAlignment w:val="baseline"/>
        <w:rPr>
          <w:rFonts w:asciiTheme="minorHAnsi" w:hAnsiTheme="minorHAnsi" w:cstheme="minorHAnsi"/>
          <w:sz w:val="24"/>
          <w:szCs w:val="24"/>
        </w:rPr>
      </w:pPr>
    </w:p>
    <w:p w14:paraId="42DF53A7" w14:textId="53AE7643" w:rsidR="002F3C25" w:rsidRDefault="002F3C25" w:rsidP="005B1CB4">
      <w:pPr>
        <w:pStyle w:val="NormalWeb"/>
        <w:shd w:val="clear" w:color="auto" w:fill="FFFFFF"/>
        <w:spacing w:before="0" w:beforeAutospacing="0" w:after="0" w:afterAutospacing="0"/>
        <w:textAlignment w:val="baseline"/>
        <w:rPr>
          <w:rFonts w:asciiTheme="minorHAnsi" w:hAnsiTheme="minorHAnsi" w:cstheme="minorHAnsi"/>
          <w:sz w:val="24"/>
          <w:szCs w:val="24"/>
        </w:rPr>
      </w:pPr>
      <w:r>
        <w:rPr>
          <w:rFonts w:asciiTheme="minorHAnsi" w:hAnsiTheme="minorHAnsi" w:cstheme="minorHAnsi"/>
          <w:sz w:val="24"/>
          <w:szCs w:val="24"/>
        </w:rPr>
        <w:t>We drive sustainable community development initiatives through direct investment and grant funding.</w:t>
      </w:r>
    </w:p>
    <w:p w14:paraId="63749269" w14:textId="77777777" w:rsidR="002F3C25" w:rsidRDefault="002F3C25" w:rsidP="005B1CB4">
      <w:pPr>
        <w:pStyle w:val="NormalWeb"/>
        <w:shd w:val="clear" w:color="auto" w:fill="FFFFFF"/>
        <w:spacing w:before="0" w:beforeAutospacing="0" w:after="0" w:afterAutospacing="0"/>
        <w:textAlignment w:val="baseline"/>
        <w:rPr>
          <w:rFonts w:asciiTheme="minorHAnsi" w:hAnsiTheme="minorHAnsi" w:cstheme="minorHAnsi"/>
          <w:sz w:val="24"/>
          <w:szCs w:val="24"/>
        </w:rPr>
      </w:pPr>
    </w:p>
    <w:p w14:paraId="595CD10A" w14:textId="77777777" w:rsidR="00624145" w:rsidRPr="00624145" w:rsidRDefault="00624145" w:rsidP="00624145">
      <w:pPr>
        <w:pStyle w:val="NormalWeb"/>
        <w:spacing w:before="0" w:beforeAutospacing="0" w:after="0" w:afterAutospacing="0"/>
        <w:rPr>
          <w:color w:val="000000"/>
          <w:sz w:val="24"/>
          <w:szCs w:val="24"/>
        </w:rPr>
      </w:pPr>
    </w:p>
    <w:p w14:paraId="1D2D8C25" w14:textId="77777777" w:rsidR="00624145" w:rsidRPr="002F3C25" w:rsidRDefault="00624145" w:rsidP="00624145">
      <w:pPr>
        <w:pStyle w:val="NormalWeb"/>
        <w:spacing w:before="0" w:beforeAutospacing="0" w:after="0" w:afterAutospacing="0"/>
        <w:rPr>
          <w:color w:val="000000"/>
          <w:sz w:val="24"/>
          <w:szCs w:val="24"/>
          <w:u w:val="single"/>
        </w:rPr>
      </w:pPr>
      <w:r w:rsidRPr="002F3C25">
        <w:rPr>
          <w:color w:val="000000"/>
          <w:sz w:val="24"/>
          <w:szCs w:val="24"/>
          <w:u w:val="single"/>
        </w:rPr>
        <w:t>Pillar 3 - Our brand</w:t>
      </w:r>
    </w:p>
    <w:p w14:paraId="7E4BA974" w14:textId="77777777" w:rsidR="002F3C25" w:rsidRDefault="002F3C25" w:rsidP="00624145">
      <w:pPr>
        <w:pStyle w:val="NormalWeb"/>
        <w:spacing w:before="0" w:beforeAutospacing="0" w:after="0" w:afterAutospacing="0"/>
        <w:rPr>
          <w:color w:val="000000"/>
          <w:sz w:val="24"/>
          <w:szCs w:val="24"/>
        </w:rPr>
      </w:pPr>
    </w:p>
    <w:p w14:paraId="3748A9D7" w14:textId="77777777" w:rsidR="00725A82" w:rsidRDefault="00624145" w:rsidP="00624145">
      <w:pPr>
        <w:pStyle w:val="NormalWeb"/>
        <w:spacing w:before="0" w:beforeAutospacing="0" w:after="0" w:afterAutospacing="0"/>
        <w:rPr>
          <w:color w:val="000000"/>
          <w:sz w:val="24"/>
          <w:szCs w:val="24"/>
        </w:rPr>
      </w:pPr>
      <w:r w:rsidRPr="00624145">
        <w:rPr>
          <w:color w:val="000000"/>
          <w:sz w:val="24"/>
          <w:szCs w:val="24"/>
        </w:rPr>
        <w:t>Many Rivers</w:t>
      </w:r>
      <w:r w:rsidR="002F3C25">
        <w:rPr>
          <w:color w:val="000000"/>
          <w:sz w:val="24"/>
          <w:szCs w:val="24"/>
        </w:rPr>
        <w:t xml:space="preserve"> seeks to be recognised as a </w:t>
      </w:r>
      <w:r w:rsidR="002F3C25" w:rsidRPr="00624145">
        <w:rPr>
          <w:color w:val="000000"/>
          <w:sz w:val="24"/>
          <w:szCs w:val="24"/>
        </w:rPr>
        <w:t xml:space="preserve">respected </w:t>
      </w:r>
      <w:r w:rsidR="002F3C25">
        <w:rPr>
          <w:color w:val="000000"/>
          <w:sz w:val="24"/>
          <w:szCs w:val="24"/>
        </w:rPr>
        <w:t xml:space="preserve">leader in the </w:t>
      </w:r>
      <w:r w:rsidR="002F3C25" w:rsidRPr="00624145">
        <w:rPr>
          <w:color w:val="000000"/>
          <w:sz w:val="24"/>
          <w:szCs w:val="24"/>
        </w:rPr>
        <w:t xml:space="preserve">Aboriginal </w:t>
      </w:r>
      <w:r w:rsidR="002F3C25">
        <w:rPr>
          <w:color w:val="000000"/>
          <w:sz w:val="24"/>
          <w:szCs w:val="24"/>
        </w:rPr>
        <w:t>c</w:t>
      </w:r>
      <w:r w:rsidR="002F3C25" w:rsidRPr="00624145">
        <w:rPr>
          <w:color w:val="000000"/>
          <w:sz w:val="24"/>
          <w:szCs w:val="24"/>
        </w:rPr>
        <w:t xml:space="preserve">ommunity </w:t>
      </w:r>
      <w:r w:rsidR="002F3C25">
        <w:rPr>
          <w:color w:val="000000"/>
          <w:sz w:val="24"/>
          <w:szCs w:val="24"/>
        </w:rPr>
        <w:t>h</w:t>
      </w:r>
      <w:r w:rsidR="002F3C25" w:rsidRPr="00624145">
        <w:rPr>
          <w:color w:val="000000"/>
          <w:sz w:val="24"/>
          <w:szCs w:val="24"/>
        </w:rPr>
        <w:t xml:space="preserve">ousing </w:t>
      </w:r>
      <w:r w:rsidR="002F3C25">
        <w:rPr>
          <w:color w:val="000000"/>
          <w:sz w:val="24"/>
          <w:szCs w:val="24"/>
        </w:rPr>
        <w:t>sector and throughout Aboriginal communities</w:t>
      </w:r>
      <w:r w:rsidR="00725A82">
        <w:rPr>
          <w:color w:val="000000"/>
          <w:sz w:val="24"/>
          <w:szCs w:val="24"/>
        </w:rPr>
        <w:t xml:space="preserve"> in northern NSW</w:t>
      </w:r>
      <w:r w:rsidR="002F3C25">
        <w:rPr>
          <w:color w:val="000000"/>
          <w:sz w:val="24"/>
          <w:szCs w:val="24"/>
        </w:rPr>
        <w:t xml:space="preserve">. </w:t>
      </w:r>
    </w:p>
    <w:p w14:paraId="4E133D28" w14:textId="77777777" w:rsidR="00725A82" w:rsidRDefault="00725A82" w:rsidP="00624145">
      <w:pPr>
        <w:pStyle w:val="NormalWeb"/>
        <w:spacing w:before="0" w:beforeAutospacing="0" w:after="0" w:afterAutospacing="0"/>
        <w:rPr>
          <w:color w:val="000000"/>
          <w:sz w:val="24"/>
          <w:szCs w:val="24"/>
        </w:rPr>
      </w:pPr>
    </w:p>
    <w:p w14:paraId="0276E93A" w14:textId="35B96443" w:rsidR="002F3C25" w:rsidRDefault="002F3C25" w:rsidP="00624145">
      <w:pPr>
        <w:pStyle w:val="NormalWeb"/>
        <w:spacing w:before="0" w:beforeAutospacing="0" w:after="0" w:afterAutospacing="0"/>
        <w:rPr>
          <w:color w:val="000000"/>
          <w:sz w:val="24"/>
          <w:szCs w:val="24"/>
        </w:rPr>
      </w:pPr>
      <w:r>
        <w:rPr>
          <w:color w:val="000000"/>
          <w:sz w:val="24"/>
          <w:szCs w:val="24"/>
        </w:rPr>
        <w:t>We achieve this by being a valued, community-owned organisation</w:t>
      </w:r>
      <w:r w:rsidR="00725A82">
        <w:rPr>
          <w:color w:val="000000"/>
          <w:sz w:val="24"/>
          <w:szCs w:val="24"/>
        </w:rPr>
        <w:t xml:space="preserve">. We deliver exceptional service to communities, providing property management and tenancy support services, Aboriginal </w:t>
      </w:r>
      <w:r>
        <w:rPr>
          <w:color w:val="000000"/>
          <w:sz w:val="24"/>
          <w:szCs w:val="24"/>
        </w:rPr>
        <w:t xml:space="preserve">employment and training </w:t>
      </w:r>
      <w:r w:rsidR="00725A82">
        <w:rPr>
          <w:color w:val="000000"/>
          <w:sz w:val="24"/>
          <w:szCs w:val="24"/>
        </w:rPr>
        <w:t>opportunities and leading community development initiatives.</w:t>
      </w:r>
    </w:p>
    <w:p w14:paraId="479143E0" w14:textId="2AE5B960" w:rsidR="00725A82" w:rsidRDefault="00725A82" w:rsidP="00624145">
      <w:pPr>
        <w:pStyle w:val="NormalWeb"/>
        <w:spacing w:before="0" w:beforeAutospacing="0" w:after="0" w:afterAutospacing="0"/>
        <w:rPr>
          <w:color w:val="000000"/>
          <w:sz w:val="24"/>
          <w:szCs w:val="24"/>
        </w:rPr>
      </w:pPr>
    </w:p>
    <w:p w14:paraId="798FD00D" w14:textId="304E4945" w:rsidR="00624145" w:rsidRPr="00624145" w:rsidRDefault="00725A82" w:rsidP="00624145">
      <w:pPr>
        <w:pStyle w:val="NormalWeb"/>
        <w:spacing w:before="0" w:beforeAutospacing="0" w:after="0" w:afterAutospacing="0"/>
        <w:rPr>
          <w:color w:val="000000"/>
          <w:sz w:val="24"/>
          <w:szCs w:val="24"/>
        </w:rPr>
      </w:pPr>
      <w:r>
        <w:rPr>
          <w:color w:val="000000"/>
          <w:sz w:val="24"/>
          <w:szCs w:val="24"/>
        </w:rPr>
        <w:t>Our s</w:t>
      </w:r>
      <w:r w:rsidR="002F3C25" w:rsidRPr="002F3C25">
        <w:rPr>
          <w:color w:val="000000"/>
          <w:sz w:val="24"/>
          <w:szCs w:val="24"/>
        </w:rPr>
        <w:t>trong, positive public profile</w:t>
      </w:r>
      <w:r>
        <w:rPr>
          <w:color w:val="000000"/>
          <w:sz w:val="24"/>
          <w:szCs w:val="24"/>
        </w:rPr>
        <w:t xml:space="preserve"> comes from our achievements in these areas.</w:t>
      </w:r>
    </w:p>
    <w:p w14:paraId="17722DDA" w14:textId="77777777" w:rsidR="002F3C25" w:rsidRPr="003852C8" w:rsidRDefault="002F3C25" w:rsidP="003852C8">
      <w:pPr>
        <w:rPr>
          <w:lang w:val="en-US"/>
        </w:rPr>
      </w:pPr>
    </w:p>
    <w:p w14:paraId="7794D778" w14:textId="77777777" w:rsidR="00264AB9" w:rsidRDefault="00264AB9" w:rsidP="00264AB9"/>
    <w:p w14:paraId="727EDABD" w14:textId="77777777" w:rsidR="00A778EB" w:rsidRPr="00A778EB" w:rsidRDefault="00A778EB" w:rsidP="00264AB9">
      <w:pPr>
        <w:rPr>
          <w:color w:val="FF0000"/>
          <w:sz w:val="32"/>
        </w:rPr>
      </w:pPr>
    </w:p>
    <w:p w14:paraId="3D581485" w14:textId="56AB247F" w:rsidR="00A778EB" w:rsidRPr="00A778EB" w:rsidRDefault="00A778EB" w:rsidP="00264AB9">
      <w:pPr>
        <w:rPr>
          <w:color w:val="FF0000"/>
          <w:sz w:val="32"/>
        </w:rPr>
        <w:sectPr w:rsidR="00A778EB" w:rsidRPr="00A778EB" w:rsidSect="004354C0">
          <w:pgSz w:w="11900" w:h="16840"/>
          <w:pgMar w:top="1795" w:right="1440" w:bottom="1440" w:left="1440" w:header="708" w:footer="1260" w:gutter="0"/>
          <w:cols w:space="708"/>
          <w:titlePg/>
          <w:docGrid w:linePitch="360"/>
        </w:sectPr>
      </w:pPr>
    </w:p>
    <w:tbl>
      <w:tblPr>
        <w:tblStyle w:val="TableGrid"/>
        <w:tblW w:w="14454" w:type="dxa"/>
        <w:tblLook w:val="04A0" w:firstRow="1" w:lastRow="0" w:firstColumn="1" w:lastColumn="0" w:noHBand="0" w:noVBand="1"/>
      </w:tblPr>
      <w:tblGrid>
        <w:gridCol w:w="2263"/>
        <w:gridCol w:w="4820"/>
        <w:gridCol w:w="7371"/>
      </w:tblGrid>
      <w:tr w:rsidR="00587941" w:rsidRPr="00BA1A39" w14:paraId="137A2CFC" w14:textId="77777777" w:rsidTr="001D703C">
        <w:tc>
          <w:tcPr>
            <w:tcW w:w="2263" w:type="dxa"/>
            <w:vMerge w:val="restart"/>
            <w:tcBorders>
              <w:top w:val="single" w:sz="18" w:space="0" w:color="auto"/>
              <w:left w:val="single" w:sz="18" w:space="0" w:color="auto"/>
            </w:tcBorders>
            <w:shd w:val="clear" w:color="auto" w:fill="auto"/>
            <w:vAlign w:val="center"/>
          </w:tcPr>
          <w:p w14:paraId="0AE26E62" w14:textId="77777777" w:rsidR="00587941" w:rsidRPr="00BA1A39" w:rsidRDefault="00587941" w:rsidP="001D703C">
            <w:pPr>
              <w:spacing w:after="0"/>
              <w:rPr>
                <w:rFonts w:asciiTheme="minorHAnsi" w:hAnsiTheme="minorHAnsi" w:cstheme="minorHAnsi"/>
                <w:b/>
                <w:sz w:val="28"/>
                <w:szCs w:val="18"/>
              </w:rPr>
            </w:pPr>
            <w:r w:rsidRPr="00BA1A39">
              <w:rPr>
                <w:rFonts w:asciiTheme="minorHAnsi" w:hAnsiTheme="minorHAnsi" w:cstheme="minorHAnsi"/>
                <w:b/>
                <w:sz w:val="28"/>
                <w:szCs w:val="18"/>
              </w:rPr>
              <w:lastRenderedPageBreak/>
              <w:t>Pillar 1 - Our Tenants</w:t>
            </w:r>
          </w:p>
          <w:p w14:paraId="2BB15662" w14:textId="77777777" w:rsidR="00587941" w:rsidRPr="00BA1A39" w:rsidRDefault="00587941" w:rsidP="001D703C">
            <w:pPr>
              <w:spacing w:after="0"/>
              <w:rPr>
                <w:rFonts w:asciiTheme="minorHAnsi" w:hAnsiTheme="minorHAnsi" w:cstheme="minorHAnsi"/>
                <w:b/>
                <w:sz w:val="22"/>
                <w:szCs w:val="18"/>
              </w:rPr>
            </w:pPr>
          </w:p>
          <w:p w14:paraId="4D4BAA98" w14:textId="77777777" w:rsidR="00587941" w:rsidRPr="00BA1A39" w:rsidRDefault="00587941" w:rsidP="001D703C">
            <w:pPr>
              <w:spacing w:after="0"/>
              <w:rPr>
                <w:sz w:val="32"/>
              </w:rPr>
            </w:pPr>
            <w:r w:rsidRPr="00BA1A39">
              <w:rPr>
                <w:rFonts w:asciiTheme="minorHAnsi" w:hAnsiTheme="minorHAnsi" w:cstheme="minorHAnsi"/>
                <w:b/>
                <w:sz w:val="22"/>
                <w:szCs w:val="18"/>
              </w:rPr>
              <w:t>Tenants have stable and quality housing</w:t>
            </w:r>
          </w:p>
          <w:p w14:paraId="3930DB99" w14:textId="77777777" w:rsidR="00587941" w:rsidRPr="00BA1A39" w:rsidRDefault="00587941" w:rsidP="001D703C">
            <w:pPr>
              <w:spacing w:after="0"/>
              <w:rPr>
                <w:rFonts w:asciiTheme="minorHAnsi" w:hAnsiTheme="minorHAnsi" w:cstheme="minorHAnsi"/>
                <w:sz w:val="22"/>
                <w:szCs w:val="18"/>
              </w:rPr>
            </w:pPr>
          </w:p>
        </w:tc>
        <w:tc>
          <w:tcPr>
            <w:tcW w:w="4820" w:type="dxa"/>
            <w:tcBorders>
              <w:top w:val="single" w:sz="18" w:space="0" w:color="auto"/>
            </w:tcBorders>
            <w:shd w:val="clear" w:color="auto" w:fill="auto"/>
            <w:vAlign w:val="center"/>
          </w:tcPr>
          <w:p w14:paraId="22655586" w14:textId="77777777" w:rsidR="00587941" w:rsidRPr="00BA1A39" w:rsidRDefault="00587941" w:rsidP="001D703C">
            <w:pPr>
              <w:spacing w:after="0"/>
              <w:rPr>
                <w:rFonts w:asciiTheme="minorHAnsi" w:hAnsiTheme="minorHAnsi" w:cstheme="minorHAnsi"/>
                <w:sz w:val="22"/>
                <w:szCs w:val="18"/>
              </w:rPr>
            </w:pPr>
            <w:r w:rsidRPr="00BA1A39">
              <w:rPr>
                <w:rFonts w:asciiTheme="minorHAnsi" w:hAnsiTheme="minorHAnsi" w:cstheme="minorHAnsi"/>
                <w:sz w:val="22"/>
                <w:szCs w:val="18"/>
              </w:rPr>
              <w:t>Tenants provided safe and habitable housing</w:t>
            </w:r>
          </w:p>
        </w:tc>
        <w:tc>
          <w:tcPr>
            <w:tcW w:w="7371" w:type="dxa"/>
            <w:tcBorders>
              <w:top w:val="single" w:sz="18" w:space="0" w:color="auto"/>
              <w:right w:val="single" w:sz="18" w:space="0" w:color="auto"/>
            </w:tcBorders>
            <w:shd w:val="clear" w:color="auto" w:fill="auto"/>
            <w:vAlign w:val="center"/>
          </w:tcPr>
          <w:p w14:paraId="5697B673" w14:textId="77777777" w:rsidR="00587941" w:rsidRPr="00BA1A39" w:rsidRDefault="00587941" w:rsidP="001D703C">
            <w:pPr>
              <w:spacing w:after="0"/>
              <w:rPr>
                <w:rFonts w:asciiTheme="minorHAnsi" w:hAnsiTheme="minorHAnsi" w:cstheme="minorHAnsi"/>
                <w:sz w:val="22"/>
                <w:szCs w:val="18"/>
              </w:rPr>
            </w:pPr>
            <w:r w:rsidRPr="00BA1A39">
              <w:rPr>
                <w:rFonts w:asciiTheme="minorHAnsi" w:hAnsiTheme="minorHAnsi" w:cstheme="minorHAnsi"/>
                <w:sz w:val="22"/>
                <w:szCs w:val="18"/>
              </w:rPr>
              <w:t>100% of properties have been inspected in the last 12 months</w:t>
            </w:r>
          </w:p>
          <w:p w14:paraId="281206B3" w14:textId="262C6764" w:rsidR="00587941" w:rsidRPr="00BA1A39" w:rsidRDefault="00587941" w:rsidP="001D703C">
            <w:pPr>
              <w:spacing w:after="0"/>
              <w:rPr>
                <w:rFonts w:asciiTheme="minorHAnsi" w:hAnsiTheme="minorHAnsi" w:cstheme="minorHAnsi"/>
                <w:sz w:val="22"/>
                <w:szCs w:val="18"/>
              </w:rPr>
            </w:pPr>
            <w:r w:rsidRPr="00BA1A39">
              <w:rPr>
                <w:rFonts w:asciiTheme="minorHAnsi" w:hAnsiTheme="minorHAnsi" w:cstheme="minorHAnsi"/>
                <w:sz w:val="22"/>
                <w:szCs w:val="18"/>
              </w:rPr>
              <w:t>95% of properties have had a safety and compliance inspection completed in the last 12 months</w:t>
            </w:r>
          </w:p>
          <w:p w14:paraId="644400B7" w14:textId="77777777" w:rsidR="00587941" w:rsidRPr="00BA1A39" w:rsidRDefault="00587941" w:rsidP="001D703C">
            <w:pPr>
              <w:spacing w:after="0"/>
              <w:rPr>
                <w:rFonts w:asciiTheme="minorHAnsi" w:hAnsiTheme="minorHAnsi" w:cstheme="minorHAnsi"/>
                <w:sz w:val="22"/>
                <w:szCs w:val="18"/>
              </w:rPr>
            </w:pPr>
            <w:r w:rsidRPr="00BA1A39">
              <w:rPr>
                <w:rFonts w:asciiTheme="minorHAnsi" w:hAnsiTheme="minorHAnsi" w:cstheme="minorHAnsi"/>
                <w:sz w:val="22"/>
                <w:szCs w:val="18"/>
              </w:rPr>
              <w:t>95% of repairs and maintenance works completed within required timeframes for classification (urgent, standard)</w:t>
            </w:r>
          </w:p>
          <w:p w14:paraId="6E89E1A6" w14:textId="07ED0122" w:rsidR="000021E4" w:rsidRPr="00BA1A39" w:rsidRDefault="000021E4" w:rsidP="001D703C">
            <w:pPr>
              <w:spacing w:after="0"/>
              <w:rPr>
                <w:rFonts w:asciiTheme="minorHAnsi" w:hAnsiTheme="minorHAnsi" w:cstheme="minorHAnsi"/>
                <w:sz w:val="22"/>
                <w:szCs w:val="18"/>
              </w:rPr>
            </w:pPr>
            <w:r w:rsidRPr="00BA1A39">
              <w:rPr>
                <w:rFonts w:asciiTheme="minorHAnsi" w:hAnsiTheme="minorHAnsi" w:cstheme="minorHAnsi"/>
                <w:sz w:val="22"/>
                <w:szCs w:val="18"/>
              </w:rPr>
              <w:t>&gt;80% respondents in annual tenant survey satisfied with the condition of their home</w:t>
            </w:r>
            <w:r w:rsidR="001D703C">
              <w:rPr>
                <w:rStyle w:val="FootnoteReference"/>
                <w:rFonts w:asciiTheme="minorHAnsi" w:hAnsiTheme="minorHAnsi" w:cstheme="minorHAnsi"/>
                <w:sz w:val="22"/>
                <w:szCs w:val="18"/>
              </w:rPr>
              <w:footnoteReference w:id="1"/>
            </w:r>
            <w:r w:rsidR="00D7524E">
              <w:rPr>
                <w:rFonts w:asciiTheme="minorHAnsi" w:hAnsiTheme="minorHAnsi" w:cstheme="minorHAnsi"/>
                <w:sz w:val="22"/>
                <w:szCs w:val="18"/>
              </w:rPr>
              <w:t xml:space="preserve"> </w:t>
            </w:r>
          </w:p>
          <w:p w14:paraId="64BE5F1B" w14:textId="16556DEC" w:rsidR="00533503" w:rsidRPr="00BA1A39" w:rsidRDefault="00533503" w:rsidP="001D703C">
            <w:pPr>
              <w:spacing w:after="0"/>
              <w:rPr>
                <w:rFonts w:asciiTheme="minorHAnsi" w:hAnsiTheme="minorHAnsi" w:cstheme="minorHAnsi"/>
                <w:sz w:val="22"/>
                <w:szCs w:val="18"/>
              </w:rPr>
            </w:pPr>
            <w:r w:rsidRPr="00BA1A39">
              <w:rPr>
                <w:rFonts w:asciiTheme="minorHAnsi" w:hAnsiTheme="minorHAnsi" w:cstheme="minorHAnsi"/>
                <w:sz w:val="22"/>
                <w:szCs w:val="18"/>
              </w:rPr>
              <w:t>&gt;80% respondents are satisfied with the maintenance of the property</w:t>
            </w:r>
            <w:r w:rsidR="001D703C">
              <w:rPr>
                <w:rStyle w:val="FootnoteReference"/>
                <w:rFonts w:asciiTheme="minorHAnsi" w:hAnsiTheme="minorHAnsi" w:cstheme="minorHAnsi"/>
                <w:sz w:val="22"/>
                <w:szCs w:val="18"/>
              </w:rPr>
              <w:footnoteReference w:id="2"/>
            </w:r>
          </w:p>
          <w:p w14:paraId="248EC076" w14:textId="37651617" w:rsidR="004B7217" w:rsidRPr="00BA1A39" w:rsidRDefault="004B7217" w:rsidP="001D703C">
            <w:pPr>
              <w:spacing w:after="0"/>
              <w:rPr>
                <w:rFonts w:asciiTheme="minorHAnsi" w:hAnsiTheme="minorHAnsi" w:cstheme="minorHAnsi"/>
                <w:sz w:val="22"/>
                <w:szCs w:val="18"/>
              </w:rPr>
            </w:pPr>
            <w:r w:rsidRPr="00BA1A39">
              <w:rPr>
                <w:rFonts w:asciiTheme="minorHAnsi" w:hAnsiTheme="minorHAnsi" w:cstheme="minorHAnsi"/>
                <w:sz w:val="22"/>
                <w:szCs w:val="18"/>
              </w:rPr>
              <w:t>&gt;7</w:t>
            </w:r>
            <w:r w:rsidR="001D703C">
              <w:rPr>
                <w:rFonts w:asciiTheme="minorHAnsi" w:hAnsiTheme="minorHAnsi" w:cstheme="minorHAnsi"/>
                <w:sz w:val="22"/>
                <w:szCs w:val="18"/>
              </w:rPr>
              <w:t>5</w:t>
            </w:r>
            <w:r w:rsidRPr="00BA1A39">
              <w:rPr>
                <w:rFonts w:asciiTheme="minorHAnsi" w:hAnsiTheme="minorHAnsi" w:cstheme="minorHAnsi"/>
                <w:sz w:val="22"/>
                <w:szCs w:val="18"/>
              </w:rPr>
              <w:t>% of properties meet property condition standards</w:t>
            </w:r>
            <w:r w:rsidR="001D703C">
              <w:rPr>
                <w:rStyle w:val="FootnoteReference"/>
                <w:rFonts w:asciiTheme="minorHAnsi" w:hAnsiTheme="minorHAnsi" w:cstheme="minorHAnsi"/>
                <w:sz w:val="22"/>
                <w:szCs w:val="18"/>
              </w:rPr>
              <w:footnoteReference w:id="3"/>
            </w:r>
          </w:p>
        </w:tc>
      </w:tr>
      <w:tr w:rsidR="00587941" w:rsidRPr="00BA1A39" w14:paraId="0F1336F1" w14:textId="77777777" w:rsidTr="001D703C">
        <w:tc>
          <w:tcPr>
            <w:tcW w:w="2263" w:type="dxa"/>
            <w:vMerge/>
            <w:tcBorders>
              <w:left w:val="single" w:sz="18" w:space="0" w:color="auto"/>
            </w:tcBorders>
            <w:shd w:val="clear" w:color="auto" w:fill="auto"/>
            <w:vAlign w:val="center"/>
          </w:tcPr>
          <w:p w14:paraId="511C8947" w14:textId="77777777" w:rsidR="00587941" w:rsidRPr="00BA1A39" w:rsidRDefault="00587941" w:rsidP="001D703C">
            <w:pPr>
              <w:spacing w:after="0"/>
              <w:rPr>
                <w:rFonts w:asciiTheme="minorHAnsi" w:hAnsiTheme="minorHAnsi" w:cstheme="minorHAnsi"/>
                <w:sz w:val="22"/>
                <w:szCs w:val="18"/>
              </w:rPr>
            </w:pPr>
          </w:p>
        </w:tc>
        <w:tc>
          <w:tcPr>
            <w:tcW w:w="4820" w:type="dxa"/>
            <w:shd w:val="clear" w:color="auto" w:fill="auto"/>
            <w:vAlign w:val="center"/>
          </w:tcPr>
          <w:p w14:paraId="4ECB3871" w14:textId="4088D556" w:rsidR="00587941" w:rsidRPr="00BA1A39" w:rsidRDefault="00587941" w:rsidP="001D703C">
            <w:pPr>
              <w:spacing w:after="0"/>
              <w:rPr>
                <w:rFonts w:asciiTheme="minorHAnsi" w:hAnsiTheme="minorHAnsi" w:cstheme="minorHAnsi"/>
                <w:sz w:val="22"/>
                <w:szCs w:val="18"/>
              </w:rPr>
            </w:pPr>
            <w:r w:rsidRPr="00BA1A39">
              <w:rPr>
                <w:rFonts w:asciiTheme="minorHAnsi" w:hAnsiTheme="minorHAnsi" w:cstheme="minorHAnsi"/>
                <w:sz w:val="22"/>
                <w:szCs w:val="18"/>
              </w:rPr>
              <w:t>Tenants supported to maintain their tenancies</w:t>
            </w:r>
          </w:p>
        </w:tc>
        <w:tc>
          <w:tcPr>
            <w:tcW w:w="7371" w:type="dxa"/>
            <w:tcBorders>
              <w:right w:val="single" w:sz="18" w:space="0" w:color="auto"/>
            </w:tcBorders>
            <w:shd w:val="clear" w:color="auto" w:fill="auto"/>
            <w:vAlign w:val="center"/>
          </w:tcPr>
          <w:p w14:paraId="29FBD385" w14:textId="247A021B" w:rsidR="00587941" w:rsidRPr="00BA1A39" w:rsidRDefault="00587941" w:rsidP="001D703C">
            <w:pPr>
              <w:spacing w:after="0"/>
              <w:rPr>
                <w:rFonts w:asciiTheme="minorHAnsi" w:hAnsiTheme="minorHAnsi" w:cstheme="minorHAnsi"/>
                <w:sz w:val="22"/>
                <w:szCs w:val="18"/>
              </w:rPr>
            </w:pPr>
            <w:r w:rsidRPr="00BA1A39">
              <w:rPr>
                <w:rFonts w:asciiTheme="minorHAnsi" w:hAnsiTheme="minorHAnsi" w:cstheme="minorHAnsi"/>
                <w:sz w:val="22"/>
                <w:szCs w:val="18"/>
              </w:rPr>
              <w:t>100% of tenants receive an accurate statement each month</w:t>
            </w:r>
          </w:p>
          <w:p w14:paraId="3EAC7D6D" w14:textId="57129FAE" w:rsidR="00587941" w:rsidRDefault="00587941" w:rsidP="001D703C">
            <w:pPr>
              <w:spacing w:after="0"/>
              <w:rPr>
                <w:rFonts w:asciiTheme="minorHAnsi" w:hAnsiTheme="minorHAnsi" w:cstheme="minorHAnsi"/>
                <w:sz w:val="22"/>
                <w:szCs w:val="18"/>
              </w:rPr>
            </w:pPr>
            <w:r w:rsidRPr="00BA1A39">
              <w:rPr>
                <w:rFonts w:asciiTheme="minorHAnsi" w:hAnsiTheme="minorHAnsi" w:cstheme="minorHAnsi"/>
                <w:sz w:val="22"/>
                <w:szCs w:val="18"/>
              </w:rPr>
              <w:t xml:space="preserve">Per annum, evictions represent &lt;1% of managed tenancies </w:t>
            </w:r>
          </w:p>
          <w:p w14:paraId="0084B84C" w14:textId="558C4561" w:rsidR="009619A6" w:rsidRDefault="009619A6" w:rsidP="00712669">
            <w:pPr>
              <w:rPr>
                <w:rFonts w:asciiTheme="minorHAnsi" w:hAnsiTheme="minorHAnsi" w:cstheme="minorHAnsi"/>
                <w:sz w:val="22"/>
                <w:szCs w:val="18"/>
              </w:rPr>
            </w:pPr>
            <w:r w:rsidRPr="00BA1A39">
              <w:rPr>
                <w:rFonts w:asciiTheme="minorHAnsi" w:hAnsiTheme="minorHAnsi" w:cstheme="minorHAnsi"/>
                <w:sz w:val="22"/>
                <w:szCs w:val="18"/>
              </w:rPr>
              <w:t xml:space="preserve">Our tenant support model offers an interagency referral to a minimum of 10% of tenants per annum </w:t>
            </w:r>
            <w:r>
              <w:rPr>
                <w:rFonts w:asciiTheme="minorHAnsi" w:hAnsiTheme="minorHAnsi" w:cstheme="minorHAnsi"/>
                <w:sz w:val="22"/>
                <w:szCs w:val="18"/>
              </w:rPr>
              <w:t>by December 2021</w:t>
            </w:r>
          </w:p>
          <w:p w14:paraId="6541241C" w14:textId="6AF5AD82" w:rsidR="00587941" w:rsidRPr="00BA1A39" w:rsidRDefault="009619A6" w:rsidP="001D703C">
            <w:pPr>
              <w:spacing w:after="0"/>
              <w:rPr>
                <w:rFonts w:asciiTheme="minorHAnsi" w:hAnsiTheme="minorHAnsi" w:cstheme="minorHAnsi"/>
                <w:sz w:val="22"/>
                <w:szCs w:val="18"/>
              </w:rPr>
            </w:pPr>
            <w:r w:rsidRPr="00712669">
              <w:rPr>
                <w:rFonts w:asciiTheme="minorHAnsi" w:hAnsiTheme="minorHAnsi" w:cstheme="minorHAnsi"/>
                <w:b/>
                <w:bCs/>
                <w:sz w:val="22"/>
                <w:szCs w:val="18"/>
              </w:rPr>
              <w:t>Improvement initiative</w:t>
            </w:r>
            <w:r>
              <w:rPr>
                <w:rFonts w:asciiTheme="minorHAnsi" w:hAnsiTheme="minorHAnsi" w:cstheme="minorHAnsi"/>
                <w:b/>
                <w:bCs/>
                <w:sz w:val="22"/>
                <w:szCs w:val="18"/>
              </w:rPr>
              <w:t>:</w:t>
            </w:r>
            <w:r>
              <w:rPr>
                <w:rFonts w:asciiTheme="minorHAnsi" w:hAnsiTheme="minorHAnsi" w:cstheme="minorHAnsi"/>
                <w:sz w:val="22"/>
                <w:szCs w:val="18"/>
              </w:rPr>
              <w:t xml:space="preserve"> </w:t>
            </w:r>
            <w:r w:rsidR="00924133">
              <w:rPr>
                <w:rFonts w:asciiTheme="minorHAnsi" w:hAnsiTheme="minorHAnsi" w:cstheme="minorHAnsi"/>
                <w:sz w:val="22"/>
                <w:szCs w:val="18"/>
              </w:rPr>
              <w:t>Tenant support service</w:t>
            </w:r>
            <w:r w:rsidR="001C1833">
              <w:rPr>
                <w:rFonts w:asciiTheme="minorHAnsi" w:hAnsiTheme="minorHAnsi" w:cstheme="minorHAnsi"/>
                <w:sz w:val="22"/>
                <w:szCs w:val="18"/>
              </w:rPr>
              <w:t xml:space="preserve"> directory </w:t>
            </w:r>
            <w:r w:rsidR="00924133">
              <w:rPr>
                <w:rFonts w:asciiTheme="minorHAnsi" w:hAnsiTheme="minorHAnsi" w:cstheme="minorHAnsi"/>
                <w:sz w:val="22"/>
                <w:szCs w:val="18"/>
              </w:rPr>
              <w:t>covers</w:t>
            </w:r>
            <w:r w:rsidR="001C1833">
              <w:rPr>
                <w:rFonts w:asciiTheme="minorHAnsi" w:hAnsiTheme="minorHAnsi" w:cstheme="minorHAnsi"/>
                <w:sz w:val="22"/>
                <w:szCs w:val="18"/>
              </w:rPr>
              <w:t xml:space="preserve"> all areas of our portfolio by December 2021</w:t>
            </w:r>
          </w:p>
        </w:tc>
      </w:tr>
      <w:tr w:rsidR="00587941" w:rsidRPr="00BA1A39" w14:paraId="36124A5F" w14:textId="77777777" w:rsidTr="001D703C">
        <w:tc>
          <w:tcPr>
            <w:tcW w:w="2263" w:type="dxa"/>
            <w:vMerge/>
            <w:tcBorders>
              <w:left w:val="single" w:sz="18" w:space="0" w:color="auto"/>
            </w:tcBorders>
            <w:shd w:val="clear" w:color="auto" w:fill="auto"/>
            <w:vAlign w:val="center"/>
          </w:tcPr>
          <w:p w14:paraId="094D3ED3" w14:textId="77777777" w:rsidR="00587941" w:rsidRPr="00BA1A39" w:rsidRDefault="00587941" w:rsidP="001D703C">
            <w:pPr>
              <w:spacing w:after="0"/>
              <w:rPr>
                <w:rFonts w:asciiTheme="minorHAnsi" w:hAnsiTheme="minorHAnsi" w:cstheme="minorHAnsi"/>
                <w:sz w:val="22"/>
                <w:szCs w:val="18"/>
              </w:rPr>
            </w:pPr>
          </w:p>
        </w:tc>
        <w:tc>
          <w:tcPr>
            <w:tcW w:w="4820" w:type="dxa"/>
            <w:shd w:val="clear" w:color="auto" w:fill="auto"/>
            <w:vAlign w:val="center"/>
          </w:tcPr>
          <w:p w14:paraId="736FCB63" w14:textId="2F5342C5" w:rsidR="00587941" w:rsidRPr="00BA1A39" w:rsidRDefault="00587941" w:rsidP="001D703C">
            <w:pPr>
              <w:spacing w:after="0"/>
              <w:rPr>
                <w:rFonts w:asciiTheme="minorHAnsi" w:hAnsiTheme="minorHAnsi" w:cstheme="minorHAnsi"/>
                <w:sz w:val="22"/>
                <w:szCs w:val="18"/>
              </w:rPr>
            </w:pPr>
            <w:r w:rsidRPr="00BA1A39">
              <w:rPr>
                <w:rFonts w:asciiTheme="minorHAnsi" w:hAnsiTheme="minorHAnsi" w:cstheme="minorHAnsi"/>
                <w:sz w:val="22"/>
                <w:szCs w:val="18"/>
              </w:rPr>
              <w:t>Tenants are satisfied with Many Rivers’ service</w:t>
            </w:r>
          </w:p>
        </w:tc>
        <w:tc>
          <w:tcPr>
            <w:tcW w:w="7371" w:type="dxa"/>
            <w:tcBorders>
              <w:right w:val="single" w:sz="18" w:space="0" w:color="auto"/>
            </w:tcBorders>
            <w:shd w:val="clear" w:color="auto" w:fill="auto"/>
            <w:vAlign w:val="center"/>
          </w:tcPr>
          <w:p w14:paraId="22DA91A6" w14:textId="1F37C41F" w:rsidR="00587941" w:rsidRPr="00BA1A39" w:rsidRDefault="00587941" w:rsidP="001D703C">
            <w:pPr>
              <w:spacing w:after="0"/>
              <w:rPr>
                <w:rFonts w:asciiTheme="minorHAnsi" w:hAnsiTheme="minorHAnsi" w:cstheme="minorHAnsi"/>
                <w:sz w:val="22"/>
                <w:szCs w:val="18"/>
              </w:rPr>
            </w:pPr>
            <w:r w:rsidRPr="00BA1A39">
              <w:rPr>
                <w:rFonts w:asciiTheme="minorHAnsi" w:hAnsiTheme="minorHAnsi" w:cstheme="minorHAnsi"/>
                <w:sz w:val="22"/>
                <w:szCs w:val="18"/>
              </w:rPr>
              <w:t xml:space="preserve">&gt;90% </w:t>
            </w:r>
            <w:r w:rsidR="000021E4" w:rsidRPr="00BA1A39">
              <w:rPr>
                <w:rFonts w:asciiTheme="minorHAnsi" w:hAnsiTheme="minorHAnsi" w:cstheme="minorHAnsi"/>
                <w:sz w:val="22"/>
                <w:szCs w:val="18"/>
              </w:rPr>
              <w:t>respondents in annual tenant survey satisfied with Many Rivers’ service</w:t>
            </w:r>
            <w:r w:rsidR="001D703C">
              <w:rPr>
                <w:rStyle w:val="FootnoteReference"/>
                <w:rFonts w:asciiTheme="minorHAnsi" w:hAnsiTheme="minorHAnsi" w:cstheme="minorHAnsi"/>
                <w:sz w:val="22"/>
                <w:szCs w:val="18"/>
              </w:rPr>
              <w:footnoteReference w:id="4"/>
            </w:r>
            <w:r w:rsidRPr="00BA1A39">
              <w:rPr>
                <w:rFonts w:asciiTheme="minorHAnsi" w:hAnsiTheme="minorHAnsi" w:cstheme="minorHAnsi"/>
                <w:sz w:val="22"/>
                <w:szCs w:val="18"/>
              </w:rPr>
              <w:t xml:space="preserve"> </w:t>
            </w:r>
          </w:p>
        </w:tc>
      </w:tr>
      <w:tr w:rsidR="00587941" w:rsidRPr="00BA1A39" w14:paraId="65E48356" w14:textId="77777777" w:rsidTr="001D703C">
        <w:tc>
          <w:tcPr>
            <w:tcW w:w="2263" w:type="dxa"/>
            <w:vMerge/>
            <w:tcBorders>
              <w:left w:val="single" w:sz="18" w:space="0" w:color="auto"/>
            </w:tcBorders>
            <w:shd w:val="clear" w:color="auto" w:fill="auto"/>
            <w:vAlign w:val="center"/>
          </w:tcPr>
          <w:p w14:paraId="2ABA3915" w14:textId="77777777" w:rsidR="00587941" w:rsidRPr="00BA1A39" w:rsidRDefault="00587941" w:rsidP="001D703C">
            <w:pPr>
              <w:spacing w:after="0"/>
              <w:rPr>
                <w:rFonts w:asciiTheme="minorHAnsi" w:hAnsiTheme="minorHAnsi" w:cstheme="minorHAnsi"/>
                <w:sz w:val="22"/>
                <w:szCs w:val="18"/>
              </w:rPr>
            </w:pPr>
          </w:p>
        </w:tc>
        <w:tc>
          <w:tcPr>
            <w:tcW w:w="4820" w:type="dxa"/>
            <w:shd w:val="clear" w:color="auto" w:fill="auto"/>
            <w:vAlign w:val="center"/>
          </w:tcPr>
          <w:p w14:paraId="452CAC13" w14:textId="6600B26E" w:rsidR="00587941" w:rsidRPr="00BA1A39" w:rsidRDefault="00587941" w:rsidP="001D703C">
            <w:pPr>
              <w:spacing w:after="0"/>
              <w:rPr>
                <w:rFonts w:asciiTheme="minorHAnsi" w:hAnsiTheme="minorHAnsi" w:cstheme="minorHAnsi"/>
                <w:sz w:val="22"/>
                <w:szCs w:val="18"/>
              </w:rPr>
            </w:pPr>
            <w:r w:rsidRPr="00BA1A39">
              <w:rPr>
                <w:rFonts w:asciiTheme="minorHAnsi" w:hAnsiTheme="minorHAnsi" w:cstheme="minorHAnsi"/>
                <w:sz w:val="22"/>
                <w:szCs w:val="18"/>
              </w:rPr>
              <w:t xml:space="preserve">Services are culturally safe </w:t>
            </w:r>
          </w:p>
        </w:tc>
        <w:tc>
          <w:tcPr>
            <w:tcW w:w="7371" w:type="dxa"/>
            <w:tcBorders>
              <w:right w:val="single" w:sz="18" w:space="0" w:color="auto"/>
            </w:tcBorders>
            <w:shd w:val="clear" w:color="auto" w:fill="auto"/>
            <w:vAlign w:val="center"/>
          </w:tcPr>
          <w:p w14:paraId="5DD23FC0" w14:textId="3F1E60BB" w:rsidR="00587941" w:rsidRPr="00BA1A39" w:rsidRDefault="00587941" w:rsidP="001D703C">
            <w:pPr>
              <w:spacing w:after="0"/>
              <w:rPr>
                <w:rFonts w:asciiTheme="minorHAnsi" w:hAnsiTheme="minorHAnsi" w:cstheme="minorHAnsi"/>
                <w:sz w:val="22"/>
                <w:szCs w:val="18"/>
              </w:rPr>
            </w:pPr>
            <w:r w:rsidRPr="00BA1A39">
              <w:rPr>
                <w:rFonts w:asciiTheme="minorHAnsi" w:hAnsiTheme="minorHAnsi" w:cstheme="minorHAnsi"/>
                <w:sz w:val="22"/>
                <w:szCs w:val="18"/>
              </w:rPr>
              <w:t xml:space="preserve">&gt;80% of </w:t>
            </w:r>
            <w:r w:rsidR="008F3AC8">
              <w:rPr>
                <w:rFonts w:asciiTheme="minorHAnsi" w:hAnsiTheme="minorHAnsi" w:cstheme="minorHAnsi"/>
                <w:sz w:val="22"/>
                <w:szCs w:val="18"/>
              </w:rPr>
              <w:t>frontline staff</w:t>
            </w:r>
            <w:r w:rsidRPr="00BA1A39">
              <w:rPr>
                <w:rFonts w:asciiTheme="minorHAnsi" w:hAnsiTheme="minorHAnsi" w:cstheme="minorHAnsi"/>
                <w:sz w:val="22"/>
                <w:szCs w:val="18"/>
              </w:rPr>
              <w:t xml:space="preserve"> identify as Aboriginal</w:t>
            </w:r>
          </w:p>
        </w:tc>
      </w:tr>
      <w:tr w:rsidR="00587941" w:rsidRPr="00BA1A39" w14:paraId="17BB15F1" w14:textId="77777777" w:rsidTr="001D703C">
        <w:tc>
          <w:tcPr>
            <w:tcW w:w="2263" w:type="dxa"/>
            <w:vMerge/>
            <w:tcBorders>
              <w:left w:val="single" w:sz="18" w:space="0" w:color="auto"/>
              <w:bottom w:val="single" w:sz="18" w:space="0" w:color="auto"/>
            </w:tcBorders>
            <w:shd w:val="clear" w:color="auto" w:fill="auto"/>
            <w:vAlign w:val="center"/>
          </w:tcPr>
          <w:p w14:paraId="0DAF6F16" w14:textId="77777777" w:rsidR="00587941" w:rsidRPr="00BA1A39" w:rsidRDefault="00587941" w:rsidP="001D703C">
            <w:pPr>
              <w:spacing w:after="0"/>
              <w:rPr>
                <w:rFonts w:asciiTheme="minorHAnsi" w:hAnsiTheme="minorHAnsi" w:cstheme="minorHAnsi"/>
                <w:sz w:val="22"/>
                <w:szCs w:val="18"/>
              </w:rPr>
            </w:pPr>
          </w:p>
        </w:tc>
        <w:tc>
          <w:tcPr>
            <w:tcW w:w="4820" w:type="dxa"/>
            <w:tcBorders>
              <w:bottom w:val="single" w:sz="18" w:space="0" w:color="auto"/>
            </w:tcBorders>
            <w:shd w:val="clear" w:color="auto" w:fill="auto"/>
            <w:vAlign w:val="center"/>
          </w:tcPr>
          <w:p w14:paraId="1E455A1D" w14:textId="327D53D5" w:rsidR="00587941" w:rsidRPr="00BA1A39" w:rsidRDefault="00587941" w:rsidP="001D703C">
            <w:pPr>
              <w:spacing w:after="0"/>
              <w:rPr>
                <w:rFonts w:asciiTheme="minorHAnsi" w:hAnsiTheme="minorHAnsi" w:cstheme="minorHAnsi"/>
                <w:sz w:val="22"/>
                <w:szCs w:val="18"/>
              </w:rPr>
            </w:pPr>
            <w:r w:rsidRPr="00BA1A39">
              <w:rPr>
                <w:rFonts w:asciiTheme="minorHAnsi" w:hAnsiTheme="minorHAnsi" w:cstheme="minorHAnsi"/>
                <w:sz w:val="22"/>
                <w:szCs w:val="18"/>
              </w:rPr>
              <w:t>Where appropriate, tenants are supported to transition to home ownership</w:t>
            </w:r>
          </w:p>
        </w:tc>
        <w:tc>
          <w:tcPr>
            <w:tcW w:w="7371" w:type="dxa"/>
            <w:tcBorders>
              <w:bottom w:val="single" w:sz="18" w:space="0" w:color="auto"/>
              <w:right w:val="single" w:sz="18" w:space="0" w:color="auto"/>
            </w:tcBorders>
            <w:shd w:val="clear" w:color="auto" w:fill="auto"/>
            <w:vAlign w:val="center"/>
          </w:tcPr>
          <w:p w14:paraId="659ECA13" w14:textId="512D8343" w:rsidR="00587941" w:rsidRPr="00BA1A39" w:rsidRDefault="00587941" w:rsidP="001D703C">
            <w:pPr>
              <w:spacing w:after="0"/>
              <w:rPr>
                <w:rFonts w:asciiTheme="minorHAnsi" w:hAnsiTheme="minorHAnsi" w:cstheme="minorHAnsi"/>
                <w:sz w:val="22"/>
                <w:szCs w:val="18"/>
              </w:rPr>
            </w:pPr>
            <w:r w:rsidRPr="00BA1A39">
              <w:rPr>
                <w:rFonts w:asciiTheme="minorHAnsi" w:hAnsiTheme="minorHAnsi" w:cstheme="minorHAnsi"/>
                <w:sz w:val="22"/>
                <w:szCs w:val="18"/>
              </w:rPr>
              <w:t>Home ownership pathway planned with at least two tenants per annum</w:t>
            </w:r>
          </w:p>
        </w:tc>
      </w:tr>
    </w:tbl>
    <w:p w14:paraId="76046F6F" w14:textId="3D42A231" w:rsidR="001D703C" w:rsidRDefault="001D703C"/>
    <w:p w14:paraId="405519A7" w14:textId="77777777" w:rsidR="001D703C" w:rsidRDefault="001D703C">
      <w:pPr>
        <w:spacing w:after="0"/>
      </w:pPr>
      <w:r>
        <w:br w:type="page"/>
      </w:r>
    </w:p>
    <w:p w14:paraId="25C248A6" w14:textId="2969DBC7" w:rsidR="001D703C" w:rsidRDefault="001D703C"/>
    <w:p w14:paraId="5D21221B" w14:textId="77777777" w:rsidR="001D703C" w:rsidRDefault="001D703C"/>
    <w:tbl>
      <w:tblPr>
        <w:tblStyle w:val="TableGrid"/>
        <w:tblW w:w="14454" w:type="dxa"/>
        <w:tblLook w:val="04A0" w:firstRow="1" w:lastRow="0" w:firstColumn="1" w:lastColumn="0" w:noHBand="0" w:noVBand="1"/>
      </w:tblPr>
      <w:tblGrid>
        <w:gridCol w:w="2263"/>
        <w:gridCol w:w="4820"/>
        <w:gridCol w:w="7371"/>
      </w:tblGrid>
      <w:tr w:rsidR="00587941" w:rsidRPr="00BA1A39" w14:paraId="56F6F4EE" w14:textId="77777777" w:rsidTr="00BA1A39">
        <w:tc>
          <w:tcPr>
            <w:tcW w:w="2263" w:type="dxa"/>
            <w:vMerge w:val="restart"/>
            <w:tcBorders>
              <w:top w:val="single" w:sz="18" w:space="0" w:color="auto"/>
              <w:left w:val="single" w:sz="18" w:space="0" w:color="auto"/>
            </w:tcBorders>
            <w:shd w:val="clear" w:color="auto" w:fill="auto"/>
            <w:vAlign w:val="center"/>
          </w:tcPr>
          <w:p w14:paraId="5FC6BF0B" w14:textId="280DC086" w:rsidR="00587941" w:rsidRPr="00BA1A39" w:rsidRDefault="00587941" w:rsidP="000021E4">
            <w:pPr>
              <w:spacing w:after="0"/>
              <w:rPr>
                <w:rFonts w:asciiTheme="minorHAnsi" w:hAnsiTheme="minorHAnsi" w:cstheme="minorHAnsi"/>
                <w:b/>
                <w:sz w:val="28"/>
                <w:szCs w:val="18"/>
              </w:rPr>
            </w:pPr>
            <w:r w:rsidRPr="00BA1A39">
              <w:rPr>
                <w:rFonts w:asciiTheme="minorHAnsi" w:hAnsiTheme="minorHAnsi" w:cstheme="minorHAnsi"/>
                <w:b/>
                <w:sz w:val="28"/>
                <w:szCs w:val="18"/>
              </w:rPr>
              <w:t>Pillar 2 - Our partner communities</w:t>
            </w:r>
          </w:p>
          <w:p w14:paraId="669BFD0F" w14:textId="77777777" w:rsidR="00587941" w:rsidRPr="00BA1A39" w:rsidRDefault="00587941" w:rsidP="000021E4">
            <w:pPr>
              <w:spacing w:after="0"/>
              <w:rPr>
                <w:rFonts w:asciiTheme="minorHAnsi" w:hAnsiTheme="minorHAnsi" w:cstheme="minorHAnsi"/>
                <w:b/>
                <w:sz w:val="22"/>
                <w:szCs w:val="18"/>
              </w:rPr>
            </w:pPr>
          </w:p>
          <w:p w14:paraId="6F2F7D2F" w14:textId="7F58C0AE" w:rsidR="00587941" w:rsidRPr="00BA1A39" w:rsidRDefault="00587941" w:rsidP="000021E4">
            <w:pPr>
              <w:spacing w:after="0"/>
              <w:rPr>
                <w:rFonts w:asciiTheme="minorHAnsi" w:hAnsiTheme="minorHAnsi" w:cstheme="minorHAnsi"/>
                <w:sz w:val="22"/>
                <w:szCs w:val="18"/>
              </w:rPr>
            </w:pPr>
            <w:r w:rsidRPr="00BA1A39">
              <w:rPr>
                <w:rFonts w:asciiTheme="minorHAnsi" w:hAnsiTheme="minorHAnsi" w:cstheme="minorHAnsi"/>
                <w:b/>
                <w:sz w:val="22"/>
                <w:szCs w:val="18"/>
              </w:rPr>
              <w:t xml:space="preserve">Partner </w:t>
            </w:r>
            <w:r w:rsidR="000021E4" w:rsidRPr="00BA1A39">
              <w:rPr>
                <w:rFonts w:asciiTheme="minorHAnsi" w:hAnsiTheme="minorHAnsi" w:cstheme="minorHAnsi"/>
                <w:b/>
                <w:sz w:val="22"/>
                <w:szCs w:val="18"/>
              </w:rPr>
              <w:t>c</w:t>
            </w:r>
            <w:r w:rsidRPr="00BA1A39">
              <w:rPr>
                <w:rFonts w:asciiTheme="minorHAnsi" w:hAnsiTheme="minorHAnsi" w:cstheme="minorHAnsi"/>
                <w:b/>
                <w:sz w:val="22"/>
                <w:szCs w:val="18"/>
              </w:rPr>
              <w:t>ommunities are supported to thrive</w:t>
            </w:r>
            <w:r w:rsidRPr="00BA1A39">
              <w:rPr>
                <w:rFonts w:asciiTheme="minorHAnsi" w:hAnsiTheme="minorHAnsi" w:cstheme="minorHAnsi"/>
                <w:sz w:val="22"/>
                <w:szCs w:val="18"/>
              </w:rPr>
              <w:t xml:space="preserve"> </w:t>
            </w:r>
          </w:p>
        </w:tc>
        <w:tc>
          <w:tcPr>
            <w:tcW w:w="4820" w:type="dxa"/>
            <w:tcBorders>
              <w:top w:val="single" w:sz="18" w:space="0" w:color="auto"/>
            </w:tcBorders>
            <w:shd w:val="clear" w:color="auto" w:fill="auto"/>
            <w:vAlign w:val="center"/>
          </w:tcPr>
          <w:p w14:paraId="0BE278C7" w14:textId="3FCB1151" w:rsidR="00587941" w:rsidRPr="00BA1A39" w:rsidRDefault="00587941" w:rsidP="00587941">
            <w:pPr>
              <w:spacing w:after="0"/>
              <w:rPr>
                <w:rFonts w:asciiTheme="minorHAnsi" w:hAnsiTheme="minorHAnsi" w:cstheme="minorHAnsi"/>
                <w:sz w:val="22"/>
                <w:szCs w:val="18"/>
              </w:rPr>
            </w:pPr>
            <w:r w:rsidRPr="00BA1A39">
              <w:rPr>
                <w:rFonts w:asciiTheme="minorHAnsi" w:hAnsiTheme="minorHAnsi" w:cstheme="minorHAnsi"/>
                <w:sz w:val="22"/>
                <w:szCs w:val="18"/>
              </w:rPr>
              <w:t>Provision of exceptional property management services</w:t>
            </w:r>
          </w:p>
        </w:tc>
        <w:tc>
          <w:tcPr>
            <w:tcW w:w="7371" w:type="dxa"/>
            <w:tcBorders>
              <w:top w:val="single" w:sz="18" w:space="0" w:color="auto"/>
              <w:right w:val="single" w:sz="18" w:space="0" w:color="auto"/>
            </w:tcBorders>
            <w:shd w:val="clear" w:color="auto" w:fill="auto"/>
            <w:vAlign w:val="center"/>
          </w:tcPr>
          <w:p w14:paraId="4F705A94" w14:textId="6C2FBF65" w:rsidR="00587941" w:rsidRPr="00BA1A39" w:rsidRDefault="00587941" w:rsidP="00587941">
            <w:pPr>
              <w:spacing w:after="0"/>
              <w:rPr>
                <w:rFonts w:asciiTheme="minorHAnsi" w:hAnsiTheme="minorHAnsi" w:cstheme="minorHAnsi"/>
                <w:sz w:val="22"/>
                <w:szCs w:val="18"/>
              </w:rPr>
            </w:pPr>
            <w:r w:rsidRPr="00BA1A39">
              <w:rPr>
                <w:rFonts w:asciiTheme="minorHAnsi" w:hAnsiTheme="minorHAnsi" w:cstheme="minorHAnsi"/>
                <w:sz w:val="22"/>
                <w:szCs w:val="18"/>
              </w:rPr>
              <w:t>Portfolio size &gt;480 dwellings</w:t>
            </w:r>
          </w:p>
          <w:p w14:paraId="6F0B48BB" w14:textId="35B45211" w:rsidR="00587941" w:rsidRPr="00BA1A39" w:rsidRDefault="00587941" w:rsidP="00587941">
            <w:pPr>
              <w:spacing w:after="0"/>
              <w:rPr>
                <w:rFonts w:asciiTheme="minorHAnsi" w:hAnsiTheme="minorHAnsi" w:cstheme="minorHAnsi"/>
                <w:sz w:val="22"/>
                <w:szCs w:val="18"/>
              </w:rPr>
            </w:pPr>
            <w:r w:rsidRPr="00BA1A39">
              <w:rPr>
                <w:rFonts w:asciiTheme="minorHAnsi" w:hAnsiTheme="minorHAnsi" w:cstheme="minorHAnsi"/>
                <w:sz w:val="22"/>
                <w:szCs w:val="18"/>
              </w:rPr>
              <w:t>Supporting a minimum of 20 partner owning organisations</w:t>
            </w:r>
          </w:p>
          <w:p w14:paraId="0A4011C9" w14:textId="2768EBBB" w:rsidR="00924133" w:rsidRPr="00BA1A39" w:rsidRDefault="00587941" w:rsidP="00587941">
            <w:pPr>
              <w:spacing w:after="0"/>
              <w:rPr>
                <w:rFonts w:asciiTheme="minorHAnsi" w:hAnsiTheme="minorHAnsi" w:cstheme="minorHAnsi"/>
                <w:sz w:val="22"/>
                <w:szCs w:val="18"/>
              </w:rPr>
            </w:pPr>
            <w:r w:rsidRPr="00BA1A39">
              <w:rPr>
                <w:rFonts w:asciiTheme="minorHAnsi" w:hAnsiTheme="minorHAnsi" w:cstheme="minorHAnsi"/>
                <w:sz w:val="22"/>
                <w:szCs w:val="18"/>
              </w:rPr>
              <w:t>100% of partners receive accurate statements each month</w:t>
            </w:r>
          </w:p>
        </w:tc>
      </w:tr>
      <w:tr w:rsidR="00587941" w:rsidRPr="00BA1A39" w14:paraId="16DDD021" w14:textId="77777777" w:rsidTr="00BA1A39">
        <w:tc>
          <w:tcPr>
            <w:tcW w:w="2263" w:type="dxa"/>
            <w:vMerge/>
            <w:tcBorders>
              <w:left w:val="single" w:sz="18" w:space="0" w:color="auto"/>
            </w:tcBorders>
            <w:shd w:val="clear" w:color="auto" w:fill="auto"/>
          </w:tcPr>
          <w:p w14:paraId="65D8B509" w14:textId="77777777" w:rsidR="00587941" w:rsidRPr="00BA1A39" w:rsidRDefault="00587941" w:rsidP="00567146">
            <w:pPr>
              <w:spacing w:after="0"/>
              <w:rPr>
                <w:rFonts w:asciiTheme="minorHAnsi" w:hAnsiTheme="minorHAnsi" w:cstheme="minorHAnsi"/>
                <w:sz w:val="22"/>
                <w:szCs w:val="18"/>
              </w:rPr>
            </w:pPr>
          </w:p>
        </w:tc>
        <w:tc>
          <w:tcPr>
            <w:tcW w:w="4820" w:type="dxa"/>
            <w:shd w:val="clear" w:color="auto" w:fill="auto"/>
            <w:vAlign w:val="center"/>
          </w:tcPr>
          <w:p w14:paraId="45A616E0" w14:textId="5DDED6DE" w:rsidR="00587941" w:rsidRPr="00BA1A39" w:rsidRDefault="00587941" w:rsidP="00587941">
            <w:pPr>
              <w:spacing w:after="0"/>
              <w:rPr>
                <w:rFonts w:asciiTheme="minorHAnsi" w:hAnsiTheme="minorHAnsi" w:cstheme="minorHAnsi"/>
                <w:sz w:val="22"/>
                <w:szCs w:val="18"/>
              </w:rPr>
            </w:pPr>
            <w:r w:rsidRPr="00BA1A39">
              <w:rPr>
                <w:rFonts w:asciiTheme="minorHAnsi" w:hAnsiTheme="minorHAnsi" w:cstheme="minorHAnsi"/>
                <w:sz w:val="22"/>
                <w:szCs w:val="18"/>
              </w:rPr>
              <w:t>Maximise the financial viability of all portfolios</w:t>
            </w:r>
          </w:p>
        </w:tc>
        <w:tc>
          <w:tcPr>
            <w:tcW w:w="7371" w:type="dxa"/>
            <w:tcBorders>
              <w:right w:val="single" w:sz="18" w:space="0" w:color="auto"/>
            </w:tcBorders>
            <w:shd w:val="clear" w:color="auto" w:fill="auto"/>
            <w:vAlign w:val="center"/>
          </w:tcPr>
          <w:p w14:paraId="13834274" w14:textId="7ECE7A6D" w:rsidR="009642BF" w:rsidRPr="00BA1A39" w:rsidRDefault="00EA315A" w:rsidP="00587941">
            <w:pPr>
              <w:spacing w:after="0"/>
              <w:rPr>
                <w:rFonts w:asciiTheme="minorHAnsi" w:hAnsiTheme="minorHAnsi" w:cstheme="minorHAnsi"/>
                <w:sz w:val="22"/>
                <w:szCs w:val="18"/>
              </w:rPr>
            </w:pPr>
            <w:r>
              <w:rPr>
                <w:rFonts w:asciiTheme="minorHAnsi" w:hAnsiTheme="minorHAnsi" w:cstheme="minorHAnsi"/>
                <w:sz w:val="22"/>
                <w:szCs w:val="18"/>
              </w:rPr>
              <w:t>&gt;</w:t>
            </w:r>
            <w:r w:rsidR="009642BF" w:rsidRPr="00BA1A39">
              <w:rPr>
                <w:rFonts w:asciiTheme="minorHAnsi" w:hAnsiTheme="minorHAnsi" w:cstheme="minorHAnsi"/>
                <w:sz w:val="22"/>
                <w:szCs w:val="18"/>
              </w:rPr>
              <w:t>95% rent collected (as a proportion of charged, including rent in advance and payments against payment plans)</w:t>
            </w:r>
          </w:p>
          <w:p w14:paraId="688C660A" w14:textId="692D8CE6" w:rsidR="00587941" w:rsidRPr="00BA1A39" w:rsidRDefault="00587941" w:rsidP="00587941">
            <w:pPr>
              <w:spacing w:after="0"/>
              <w:rPr>
                <w:rFonts w:asciiTheme="minorHAnsi" w:hAnsiTheme="minorHAnsi" w:cstheme="minorHAnsi"/>
                <w:sz w:val="22"/>
                <w:szCs w:val="18"/>
              </w:rPr>
            </w:pPr>
            <w:r w:rsidRPr="00BA1A39">
              <w:rPr>
                <w:rFonts w:asciiTheme="minorHAnsi" w:hAnsiTheme="minorHAnsi" w:cstheme="minorHAnsi"/>
                <w:sz w:val="22"/>
                <w:szCs w:val="18"/>
              </w:rPr>
              <w:t>100% of properties have had a rent review in the last 12 months</w:t>
            </w:r>
          </w:p>
          <w:p w14:paraId="279D8430" w14:textId="409DA104" w:rsidR="009642BF" w:rsidRPr="00BA1A39" w:rsidRDefault="001D703C" w:rsidP="00587941">
            <w:pPr>
              <w:spacing w:after="0"/>
              <w:rPr>
                <w:rFonts w:asciiTheme="minorHAnsi" w:hAnsiTheme="minorHAnsi" w:cstheme="minorHAnsi"/>
                <w:sz w:val="22"/>
                <w:szCs w:val="18"/>
              </w:rPr>
            </w:pPr>
            <w:r>
              <w:rPr>
                <w:rFonts w:asciiTheme="minorHAnsi" w:hAnsiTheme="minorHAnsi" w:cstheme="minorHAnsi"/>
                <w:sz w:val="22"/>
                <w:szCs w:val="18"/>
              </w:rPr>
              <w:t>90% of tenants have d</w:t>
            </w:r>
            <w:r w:rsidR="00587941" w:rsidRPr="00BA1A39">
              <w:rPr>
                <w:rFonts w:asciiTheme="minorHAnsi" w:hAnsiTheme="minorHAnsi" w:cstheme="minorHAnsi"/>
                <w:sz w:val="22"/>
                <w:szCs w:val="18"/>
              </w:rPr>
              <w:t>ecreasing arrears</w:t>
            </w:r>
            <w:r>
              <w:rPr>
                <w:rFonts w:asciiTheme="minorHAnsi" w:hAnsiTheme="minorHAnsi" w:cstheme="minorHAnsi"/>
                <w:sz w:val="22"/>
                <w:szCs w:val="18"/>
              </w:rPr>
              <w:t xml:space="preserve"> (measured over</w:t>
            </w:r>
            <w:r w:rsidR="001C1833">
              <w:rPr>
                <w:rFonts w:asciiTheme="minorHAnsi" w:hAnsiTheme="minorHAnsi" w:cstheme="minorHAnsi"/>
                <w:sz w:val="22"/>
                <w:szCs w:val="18"/>
              </w:rPr>
              <w:t xml:space="preserve"> a period of</w:t>
            </w:r>
            <w:r>
              <w:rPr>
                <w:rFonts w:asciiTheme="minorHAnsi" w:hAnsiTheme="minorHAnsi" w:cstheme="minorHAnsi"/>
                <w:sz w:val="22"/>
                <w:szCs w:val="18"/>
              </w:rPr>
              <w:t xml:space="preserve"> 3 month</w:t>
            </w:r>
            <w:r w:rsidR="001C1833">
              <w:rPr>
                <w:rFonts w:asciiTheme="minorHAnsi" w:hAnsiTheme="minorHAnsi" w:cstheme="minorHAnsi"/>
                <w:sz w:val="22"/>
                <w:szCs w:val="18"/>
              </w:rPr>
              <w:t>s)</w:t>
            </w:r>
          </w:p>
          <w:p w14:paraId="50B99A89" w14:textId="66710238" w:rsidR="00173A04" w:rsidRDefault="00173A04" w:rsidP="00712669">
            <w:pPr>
              <w:rPr>
                <w:rFonts w:asciiTheme="minorHAnsi" w:hAnsiTheme="minorHAnsi" w:cstheme="minorHAnsi"/>
                <w:sz w:val="22"/>
                <w:szCs w:val="18"/>
              </w:rPr>
            </w:pPr>
            <w:r w:rsidRPr="00BA1A39">
              <w:rPr>
                <w:rFonts w:asciiTheme="minorHAnsi" w:hAnsiTheme="minorHAnsi" w:cstheme="minorHAnsi"/>
                <w:sz w:val="22"/>
                <w:szCs w:val="18"/>
              </w:rPr>
              <w:t>80% of portfolios are financially viable</w:t>
            </w:r>
            <w:r w:rsidR="00924133">
              <w:rPr>
                <w:rFonts w:asciiTheme="minorHAnsi" w:hAnsiTheme="minorHAnsi" w:cstheme="minorHAnsi"/>
                <w:sz w:val="22"/>
                <w:szCs w:val="18"/>
              </w:rPr>
              <w:t xml:space="preserve"> by December 2022</w:t>
            </w:r>
          </w:p>
          <w:p w14:paraId="0FC86BD7" w14:textId="377A65C2" w:rsidR="00533503" w:rsidRPr="00BA1A39" w:rsidRDefault="009619A6" w:rsidP="00587941">
            <w:pPr>
              <w:spacing w:after="0"/>
              <w:rPr>
                <w:rFonts w:asciiTheme="minorHAnsi" w:hAnsiTheme="minorHAnsi" w:cstheme="minorHAnsi"/>
                <w:sz w:val="22"/>
                <w:szCs w:val="18"/>
              </w:rPr>
            </w:pPr>
            <w:r w:rsidRPr="00032838">
              <w:rPr>
                <w:rFonts w:asciiTheme="minorHAnsi" w:hAnsiTheme="minorHAnsi" w:cstheme="minorHAnsi"/>
                <w:b/>
                <w:bCs/>
                <w:sz w:val="22"/>
                <w:szCs w:val="18"/>
              </w:rPr>
              <w:t>Improvement initiative</w:t>
            </w:r>
            <w:r>
              <w:rPr>
                <w:rFonts w:asciiTheme="minorHAnsi" w:hAnsiTheme="minorHAnsi" w:cstheme="minorHAnsi"/>
                <w:b/>
                <w:bCs/>
                <w:sz w:val="22"/>
                <w:szCs w:val="18"/>
              </w:rPr>
              <w:t xml:space="preserve">: </w:t>
            </w:r>
            <w:r w:rsidR="00533503" w:rsidRPr="00BA1A39">
              <w:rPr>
                <w:rFonts w:asciiTheme="minorHAnsi" w:hAnsiTheme="minorHAnsi" w:cstheme="minorHAnsi"/>
                <w:sz w:val="22"/>
                <w:szCs w:val="18"/>
              </w:rPr>
              <w:t>Develop partnership on at least one small-scale residential development</w:t>
            </w:r>
            <w:r w:rsidR="005B1CB4">
              <w:rPr>
                <w:rFonts w:asciiTheme="minorHAnsi" w:hAnsiTheme="minorHAnsi" w:cstheme="minorHAnsi"/>
                <w:sz w:val="22"/>
                <w:szCs w:val="18"/>
              </w:rPr>
              <w:t xml:space="preserve"> by December 2021</w:t>
            </w:r>
          </w:p>
        </w:tc>
      </w:tr>
      <w:tr w:rsidR="00587941" w:rsidRPr="00BA1A39" w14:paraId="3E3773B2" w14:textId="77777777" w:rsidTr="00BA1A39">
        <w:tc>
          <w:tcPr>
            <w:tcW w:w="2263" w:type="dxa"/>
            <w:vMerge/>
            <w:tcBorders>
              <w:left w:val="single" w:sz="18" w:space="0" w:color="auto"/>
            </w:tcBorders>
            <w:shd w:val="clear" w:color="auto" w:fill="auto"/>
          </w:tcPr>
          <w:p w14:paraId="4AA6E7C5" w14:textId="77777777" w:rsidR="00587941" w:rsidRPr="00BA1A39" w:rsidRDefault="00587941" w:rsidP="00567146">
            <w:pPr>
              <w:spacing w:after="0"/>
              <w:rPr>
                <w:rFonts w:asciiTheme="minorHAnsi" w:hAnsiTheme="minorHAnsi" w:cstheme="minorHAnsi"/>
                <w:sz w:val="22"/>
                <w:szCs w:val="18"/>
              </w:rPr>
            </w:pPr>
          </w:p>
        </w:tc>
        <w:tc>
          <w:tcPr>
            <w:tcW w:w="4820" w:type="dxa"/>
            <w:shd w:val="clear" w:color="auto" w:fill="auto"/>
            <w:vAlign w:val="center"/>
          </w:tcPr>
          <w:p w14:paraId="001655F3" w14:textId="0FB29889" w:rsidR="00587941" w:rsidRPr="00BA1A39" w:rsidRDefault="000021E4" w:rsidP="00587941">
            <w:pPr>
              <w:spacing w:after="0"/>
              <w:rPr>
                <w:rFonts w:asciiTheme="minorHAnsi" w:hAnsiTheme="minorHAnsi" w:cstheme="minorHAnsi"/>
                <w:sz w:val="22"/>
                <w:szCs w:val="18"/>
              </w:rPr>
            </w:pPr>
            <w:r w:rsidRPr="00BA1A39">
              <w:rPr>
                <w:rFonts w:asciiTheme="minorHAnsi" w:hAnsiTheme="minorHAnsi" w:cstheme="minorHAnsi"/>
                <w:sz w:val="22"/>
                <w:szCs w:val="18"/>
              </w:rPr>
              <w:t>Effective asset management</w:t>
            </w:r>
          </w:p>
        </w:tc>
        <w:tc>
          <w:tcPr>
            <w:tcW w:w="7371" w:type="dxa"/>
            <w:tcBorders>
              <w:right w:val="single" w:sz="18" w:space="0" w:color="auto"/>
            </w:tcBorders>
            <w:shd w:val="clear" w:color="auto" w:fill="auto"/>
            <w:vAlign w:val="center"/>
          </w:tcPr>
          <w:p w14:paraId="27D788F8" w14:textId="77777777" w:rsidR="009619A6" w:rsidRPr="00BA1A39" w:rsidRDefault="009619A6" w:rsidP="009619A6">
            <w:pPr>
              <w:spacing w:after="0"/>
              <w:rPr>
                <w:rFonts w:asciiTheme="minorHAnsi" w:hAnsiTheme="minorHAnsi" w:cstheme="minorHAnsi"/>
                <w:sz w:val="22"/>
                <w:szCs w:val="18"/>
              </w:rPr>
            </w:pPr>
            <w:r w:rsidRPr="00BA1A39">
              <w:rPr>
                <w:rFonts w:asciiTheme="minorHAnsi" w:hAnsiTheme="minorHAnsi" w:cstheme="minorHAnsi"/>
                <w:sz w:val="22"/>
                <w:szCs w:val="18"/>
              </w:rPr>
              <w:t>60% of uninhabitable properties rehabilitated to become habitable, income earning properties</w:t>
            </w:r>
            <w:r>
              <w:rPr>
                <w:rFonts w:asciiTheme="minorHAnsi" w:hAnsiTheme="minorHAnsi" w:cstheme="minorHAnsi"/>
                <w:sz w:val="22"/>
                <w:szCs w:val="18"/>
              </w:rPr>
              <w:t xml:space="preserve"> by December 2022</w:t>
            </w:r>
          </w:p>
          <w:p w14:paraId="0D203680" w14:textId="12AE5BFA" w:rsidR="009619A6" w:rsidRDefault="009619A6" w:rsidP="00712669">
            <w:pPr>
              <w:rPr>
                <w:rFonts w:asciiTheme="minorHAnsi" w:hAnsiTheme="minorHAnsi" w:cstheme="minorHAnsi"/>
                <w:b/>
                <w:bCs/>
                <w:sz w:val="22"/>
                <w:szCs w:val="18"/>
              </w:rPr>
            </w:pPr>
            <w:r w:rsidRPr="00924133">
              <w:rPr>
                <w:rFonts w:asciiTheme="minorHAnsi" w:hAnsiTheme="minorHAnsi" w:cstheme="minorHAnsi"/>
                <w:sz w:val="22"/>
                <w:szCs w:val="18"/>
              </w:rPr>
              <w:t>No property becomes uninhabitable due to lack action from Many Rivers</w:t>
            </w:r>
          </w:p>
          <w:p w14:paraId="557FD7C2" w14:textId="795D58AF" w:rsidR="009619A6" w:rsidRDefault="009619A6" w:rsidP="00587941">
            <w:pPr>
              <w:spacing w:after="0"/>
              <w:rPr>
                <w:rFonts w:asciiTheme="minorHAnsi" w:hAnsiTheme="minorHAnsi" w:cstheme="minorHAnsi"/>
                <w:sz w:val="22"/>
                <w:szCs w:val="18"/>
              </w:rPr>
            </w:pPr>
            <w:r w:rsidRPr="00032838">
              <w:rPr>
                <w:rFonts w:asciiTheme="minorHAnsi" w:hAnsiTheme="minorHAnsi" w:cstheme="minorHAnsi"/>
                <w:b/>
                <w:bCs/>
                <w:sz w:val="22"/>
                <w:szCs w:val="18"/>
              </w:rPr>
              <w:t>Improvement initiative</w:t>
            </w:r>
            <w:r>
              <w:rPr>
                <w:rFonts w:asciiTheme="minorHAnsi" w:hAnsiTheme="minorHAnsi" w:cstheme="minorHAnsi"/>
                <w:b/>
                <w:bCs/>
                <w:sz w:val="22"/>
                <w:szCs w:val="18"/>
              </w:rPr>
              <w:t>s</w:t>
            </w:r>
            <w:r>
              <w:rPr>
                <w:rFonts w:asciiTheme="minorHAnsi" w:hAnsiTheme="minorHAnsi" w:cstheme="minorHAnsi"/>
                <w:b/>
                <w:bCs/>
                <w:sz w:val="22"/>
                <w:szCs w:val="18"/>
              </w:rPr>
              <w:t>:</w:t>
            </w:r>
          </w:p>
          <w:p w14:paraId="3FFB435C" w14:textId="4DD0920D" w:rsidR="000021E4" w:rsidRPr="00BA1A39" w:rsidRDefault="000021E4" w:rsidP="00587941">
            <w:pPr>
              <w:spacing w:after="0"/>
              <w:rPr>
                <w:rFonts w:asciiTheme="minorHAnsi" w:hAnsiTheme="minorHAnsi" w:cstheme="minorHAnsi"/>
                <w:sz w:val="22"/>
                <w:szCs w:val="18"/>
              </w:rPr>
            </w:pPr>
            <w:r w:rsidRPr="00BA1A39">
              <w:rPr>
                <w:rFonts w:asciiTheme="minorHAnsi" w:hAnsiTheme="minorHAnsi" w:cstheme="minorHAnsi"/>
                <w:sz w:val="22"/>
                <w:szCs w:val="18"/>
              </w:rPr>
              <w:t>Asset management plan developed by February 2020</w:t>
            </w:r>
          </w:p>
          <w:p w14:paraId="73EBF589" w14:textId="2BE0438B" w:rsidR="00EF70B2" w:rsidRPr="00BA1A39" w:rsidRDefault="000021E4" w:rsidP="00587941">
            <w:pPr>
              <w:spacing w:after="0"/>
              <w:rPr>
                <w:rFonts w:asciiTheme="minorHAnsi" w:hAnsiTheme="minorHAnsi" w:cstheme="minorHAnsi"/>
                <w:sz w:val="22"/>
                <w:szCs w:val="18"/>
              </w:rPr>
            </w:pPr>
            <w:r w:rsidRPr="00BA1A39">
              <w:rPr>
                <w:rFonts w:asciiTheme="minorHAnsi" w:hAnsiTheme="minorHAnsi" w:cstheme="minorHAnsi"/>
                <w:sz w:val="22"/>
                <w:szCs w:val="18"/>
              </w:rPr>
              <w:t xml:space="preserve">Asset management plan implemented across the portfolio by December 2020 </w:t>
            </w:r>
          </w:p>
        </w:tc>
      </w:tr>
      <w:tr w:rsidR="00587941" w:rsidRPr="00BA1A39" w14:paraId="3885B94C" w14:textId="77777777" w:rsidTr="00BA1A39">
        <w:tc>
          <w:tcPr>
            <w:tcW w:w="2263" w:type="dxa"/>
            <w:vMerge/>
            <w:tcBorders>
              <w:left w:val="single" w:sz="18" w:space="0" w:color="auto"/>
              <w:bottom w:val="single" w:sz="18" w:space="0" w:color="auto"/>
            </w:tcBorders>
            <w:shd w:val="clear" w:color="auto" w:fill="auto"/>
          </w:tcPr>
          <w:p w14:paraId="705E3C91" w14:textId="77777777" w:rsidR="00587941" w:rsidRPr="00BA1A39" w:rsidRDefault="00587941" w:rsidP="00567146">
            <w:pPr>
              <w:spacing w:after="0"/>
              <w:rPr>
                <w:rFonts w:asciiTheme="minorHAnsi" w:hAnsiTheme="minorHAnsi" w:cstheme="minorHAnsi"/>
                <w:sz w:val="22"/>
                <w:szCs w:val="18"/>
              </w:rPr>
            </w:pPr>
          </w:p>
        </w:tc>
        <w:tc>
          <w:tcPr>
            <w:tcW w:w="4820" w:type="dxa"/>
            <w:tcBorders>
              <w:bottom w:val="single" w:sz="18" w:space="0" w:color="auto"/>
            </w:tcBorders>
            <w:shd w:val="clear" w:color="auto" w:fill="auto"/>
            <w:vAlign w:val="center"/>
          </w:tcPr>
          <w:p w14:paraId="6A467CC3" w14:textId="4AA92FEE" w:rsidR="00587941" w:rsidRPr="00BA1A39" w:rsidRDefault="000021E4" w:rsidP="00587941">
            <w:pPr>
              <w:spacing w:after="0"/>
              <w:rPr>
                <w:rFonts w:asciiTheme="minorHAnsi" w:hAnsiTheme="minorHAnsi" w:cstheme="minorHAnsi"/>
                <w:sz w:val="22"/>
                <w:szCs w:val="18"/>
              </w:rPr>
            </w:pPr>
            <w:r w:rsidRPr="00BA1A39">
              <w:rPr>
                <w:rFonts w:asciiTheme="minorHAnsi" w:hAnsiTheme="minorHAnsi" w:cstheme="minorHAnsi"/>
                <w:sz w:val="22"/>
                <w:szCs w:val="18"/>
              </w:rPr>
              <w:t xml:space="preserve">Delivery of </w:t>
            </w:r>
            <w:r w:rsidR="00173A04" w:rsidRPr="00BA1A39">
              <w:rPr>
                <w:rFonts w:asciiTheme="minorHAnsi" w:hAnsiTheme="minorHAnsi" w:cstheme="minorHAnsi"/>
                <w:sz w:val="22"/>
                <w:szCs w:val="18"/>
              </w:rPr>
              <w:t>sustainable,</w:t>
            </w:r>
            <w:r w:rsidRPr="00BA1A39">
              <w:rPr>
                <w:rFonts w:asciiTheme="minorHAnsi" w:hAnsiTheme="minorHAnsi" w:cstheme="minorHAnsi"/>
                <w:sz w:val="22"/>
                <w:szCs w:val="18"/>
              </w:rPr>
              <w:t xml:space="preserve"> community development initiates</w:t>
            </w:r>
          </w:p>
        </w:tc>
        <w:tc>
          <w:tcPr>
            <w:tcW w:w="7371" w:type="dxa"/>
            <w:tcBorders>
              <w:bottom w:val="single" w:sz="18" w:space="0" w:color="auto"/>
              <w:right w:val="single" w:sz="18" w:space="0" w:color="auto"/>
            </w:tcBorders>
            <w:shd w:val="clear" w:color="auto" w:fill="auto"/>
            <w:vAlign w:val="center"/>
          </w:tcPr>
          <w:p w14:paraId="5879F07F" w14:textId="3AD0708A" w:rsidR="000021E4" w:rsidRPr="00BA1A39" w:rsidRDefault="000021E4" w:rsidP="000021E4">
            <w:pPr>
              <w:spacing w:after="0"/>
              <w:rPr>
                <w:rFonts w:asciiTheme="minorHAnsi" w:hAnsiTheme="minorHAnsi" w:cstheme="minorHAnsi"/>
                <w:sz w:val="22"/>
                <w:szCs w:val="18"/>
              </w:rPr>
            </w:pPr>
            <w:r w:rsidRPr="00BA1A39">
              <w:rPr>
                <w:rFonts w:asciiTheme="minorHAnsi" w:hAnsiTheme="minorHAnsi" w:cstheme="minorHAnsi"/>
                <w:sz w:val="22"/>
                <w:szCs w:val="18"/>
              </w:rPr>
              <w:t>Five new community development initiatives implemented by June 2020</w:t>
            </w:r>
          </w:p>
          <w:p w14:paraId="67B46439" w14:textId="77777777" w:rsidR="00587941" w:rsidRDefault="00173A04" w:rsidP="00712669">
            <w:pPr>
              <w:rPr>
                <w:rFonts w:asciiTheme="minorHAnsi" w:hAnsiTheme="minorHAnsi" w:cstheme="minorHAnsi"/>
                <w:sz w:val="22"/>
                <w:szCs w:val="18"/>
              </w:rPr>
            </w:pPr>
            <w:r w:rsidRPr="00BA1A39">
              <w:rPr>
                <w:rFonts w:asciiTheme="minorHAnsi" w:hAnsiTheme="minorHAnsi" w:cstheme="minorHAnsi"/>
                <w:sz w:val="22"/>
                <w:szCs w:val="18"/>
              </w:rPr>
              <w:t xml:space="preserve">30% of Many Rivers working capital invested in community development by </w:t>
            </w:r>
            <w:r w:rsidR="00D51FC2">
              <w:rPr>
                <w:rFonts w:asciiTheme="minorHAnsi" w:hAnsiTheme="minorHAnsi" w:cstheme="minorHAnsi"/>
                <w:sz w:val="22"/>
                <w:szCs w:val="18"/>
              </w:rPr>
              <w:t>December</w:t>
            </w:r>
            <w:r w:rsidRPr="00BA1A39">
              <w:rPr>
                <w:rFonts w:asciiTheme="minorHAnsi" w:hAnsiTheme="minorHAnsi" w:cstheme="minorHAnsi"/>
                <w:sz w:val="22"/>
                <w:szCs w:val="18"/>
              </w:rPr>
              <w:t xml:space="preserve"> 202</w:t>
            </w:r>
            <w:r w:rsidR="00D51FC2">
              <w:rPr>
                <w:rFonts w:asciiTheme="minorHAnsi" w:hAnsiTheme="minorHAnsi" w:cstheme="minorHAnsi"/>
                <w:sz w:val="22"/>
                <w:szCs w:val="18"/>
              </w:rPr>
              <w:t>2</w:t>
            </w:r>
          </w:p>
          <w:p w14:paraId="2D2D28DF" w14:textId="0A6C2348" w:rsidR="009619A6" w:rsidRPr="00BA1A39" w:rsidRDefault="009619A6" w:rsidP="000021E4">
            <w:pPr>
              <w:spacing w:after="0"/>
              <w:rPr>
                <w:rFonts w:asciiTheme="minorHAnsi" w:hAnsiTheme="minorHAnsi" w:cstheme="minorHAnsi"/>
                <w:sz w:val="22"/>
                <w:szCs w:val="18"/>
              </w:rPr>
            </w:pPr>
            <w:r w:rsidRPr="00032838">
              <w:rPr>
                <w:rFonts w:asciiTheme="minorHAnsi" w:hAnsiTheme="minorHAnsi" w:cstheme="minorHAnsi"/>
                <w:b/>
                <w:bCs/>
                <w:sz w:val="22"/>
                <w:szCs w:val="18"/>
              </w:rPr>
              <w:t>Improvement initiative</w:t>
            </w:r>
            <w:r>
              <w:rPr>
                <w:rFonts w:asciiTheme="minorHAnsi" w:hAnsiTheme="minorHAnsi" w:cstheme="minorHAnsi"/>
                <w:b/>
                <w:bCs/>
                <w:sz w:val="22"/>
                <w:szCs w:val="18"/>
              </w:rPr>
              <w:t>:</w:t>
            </w:r>
            <w:r w:rsidRPr="00BA1A39">
              <w:rPr>
                <w:rFonts w:asciiTheme="minorHAnsi" w:hAnsiTheme="minorHAnsi" w:cstheme="minorHAnsi"/>
                <w:sz w:val="22"/>
                <w:szCs w:val="18"/>
              </w:rPr>
              <w:t xml:space="preserve"> </w:t>
            </w:r>
            <w:r w:rsidRPr="00BA1A39">
              <w:rPr>
                <w:rFonts w:asciiTheme="minorHAnsi" w:hAnsiTheme="minorHAnsi" w:cstheme="minorHAnsi"/>
                <w:sz w:val="22"/>
                <w:szCs w:val="18"/>
              </w:rPr>
              <w:t>Community development plan completed by February 2020</w:t>
            </w:r>
          </w:p>
        </w:tc>
      </w:tr>
    </w:tbl>
    <w:p w14:paraId="10B12F7B" w14:textId="4259EFAA" w:rsidR="001C1833" w:rsidRDefault="001C1833" w:rsidP="00BA1A39">
      <w:pPr>
        <w:spacing w:after="0"/>
        <w:rPr>
          <w:sz w:val="32"/>
        </w:rPr>
      </w:pPr>
    </w:p>
    <w:p w14:paraId="0F4C2C85" w14:textId="77777777" w:rsidR="001C1833" w:rsidRDefault="001C1833">
      <w:pPr>
        <w:spacing w:after="0"/>
        <w:rPr>
          <w:sz w:val="32"/>
        </w:rPr>
      </w:pPr>
      <w:r>
        <w:rPr>
          <w:sz w:val="32"/>
        </w:rPr>
        <w:br w:type="page"/>
      </w:r>
    </w:p>
    <w:p w14:paraId="12DCF970" w14:textId="77777777" w:rsidR="001C1833" w:rsidRPr="00BA1A39" w:rsidRDefault="001C1833" w:rsidP="00BA1A39">
      <w:pPr>
        <w:spacing w:after="0"/>
        <w:rPr>
          <w:sz w:val="32"/>
        </w:rPr>
      </w:pPr>
    </w:p>
    <w:tbl>
      <w:tblPr>
        <w:tblStyle w:val="TableGrid"/>
        <w:tblW w:w="14454" w:type="dxa"/>
        <w:tblLook w:val="04A0" w:firstRow="1" w:lastRow="0" w:firstColumn="1" w:lastColumn="0" w:noHBand="0" w:noVBand="1"/>
      </w:tblPr>
      <w:tblGrid>
        <w:gridCol w:w="2263"/>
        <w:gridCol w:w="4820"/>
        <w:gridCol w:w="7371"/>
      </w:tblGrid>
      <w:tr w:rsidR="00F85E6A" w:rsidRPr="00BA1A39" w14:paraId="07883416" w14:textId="77777777" w:rsidTr="00BA1A39">
        <w:tc>
          <w:tcPr>
            <w:tcW w:w="2263" w:type="dxa"/>
            <w:vMerge w:val="restart"/>
            <w:tcBorders>
              <w:top w:val="single" w:sz="18" w:space="0" w:color="auto"/>
              <w:left w:val="single" w:sz="18" w:space="0" w:color="auto"/>
            </w:tcBorders>
            <w:shd w:val="clear" w:color="auto" w:fill="auto"/>
            <w:vAlign w:val="center"/>
          </w:tcPr>
          <w:p w14:paraId="49E95D61" w14:textId="5C53C84D" w:rsidR="00F85E6A" w:rsidRPr="00BA1A39" w:rsidRDefault="00F85E6A" w:rsidP="00173A04">
            <w:pPr>
              <w:spacing w:after="0"/>
              <w:rPr>
                <w:rFonts w:asciiTheme="minorHAnsi" w:hAnsiTheme="minorHAnsi" w:cstheme="minorHAnsi"/>
                <w:b/>
                <w:sz w:val="28"/>
                <w:szCs w:val="18"/>
              </w:rPr>
            </w:pPr>
            <w:r w:rsidRPr="00BA1A39">
              <w:rPr>
                <w:rFonts w:asciiTheme="minorHAnsi" w:hAnsiTheme="minorHAnsi" w:cstheme="minorHAnsi"/>
                <w:b/>
                <w:sz w:val="28"/>
                <w:szCs w:val="18"/>
              </w:rPr>
              <w:t>Pillar 3 - Our brand</w:t>
            </w:r>
          </w:p>
          <w:p w14:paraId="18B03A8B" w14:textId="77777777" w:rsidR="00F85E6A" w:rsidRPr="00BA1A39" w:rsidRDefault="00F85E6A" w:rsidP="00173A04">
            <w:pPr>
              <w:spacing w:after="0"/>
              <w:rPr>
                <w:rFonts w:asciiTheme="minorHAnsi" w:hAnsiTheme="minorHAnsi" w:cstheme="minorHAnsi"/>
                <w:b/>
                <w:sz w:val="22"/>
                <w:szCs w:val="18"/>
              </w:rPr>
            </w:pPr>
          </w:p>
          <w:p w14:paraId="24DB530A" w14:textId="2283AE85" w:rsidR="00F85E6A" w:rsidRPr="00BA1A39" w:rsidRDefault="00F85E6A" w:rsidP="00173A04">
            <w:pPr>
              <w:spacing w:after="0"/>
              <w:rPr>
                <w:rFonts w:asciiTheme="minorHAnsi" w:hAnsiTheme="minorHAnsi" w:cstheme="minorHAnsi"/>
                <w:sz w:val="22"/>
                <w:szCs w:val="18"/>
              </w:rPr>
            </w:pPr>
            <w:r w:rsidRPr="00BA1A39">
              <w:rPr>
                <w:rFonts w:asciiTheme="minorHAnsi" w:hAnsiTheme="minorHAnsi" w:cstheme="minorHAnsi"/>
                <w:b/>
                <w:sz w:val="22"/>
                <w:szCs w:val="18"/>
              </w:rPr>
              <w:t xml:space="preserve">Many Rivers is a respected Aboriginal Community Housing Provider </w:t>
            </w:r>
          </w:p>
        </w:tc>
        <w:tc>
          <w:tcPr>
            <w:tcW w:w="4820" w:type="dxa"/>
            <w:tcBorders>
              <w:top w:val="single" w:sz="18" w:space="0" w:color="auto"/>
            </w:tcBorders>
            <w:shd w:val="clear" w:color="auto" w:fill="auto"/>
            <w:vAlign w:val="center"/>
          </w:tcPr>
          <w:p w14:paraId="0D0D7FA7" w14:textId="2ABFE4A5" w:rsidR="00F85E6A" w:rsidRPr="00BA1A39" w:rsidRDefault="00F85E6A" w:rsidP="00F85E6A">
            <w:pPr>
              <w:spacing w:after="0"/>
              <w:rPr>
                <w:rFonts w:asciiTheme="minorHAnsi" w:hAnsiTheme="minorHAnsi" w:cstheme="minorHAnsi"/>
                <w:sz w:val="22"/>
                <w:szCs w:val="18"/>
              </w:rPr>
            </w:pPr>
            <w:r w:rsidRPr="00BA1A39">
              <w:rPr>
                <w:rFonts w:asciiTheme="minorHAnsi" w:hAnsiTheme="minorHAnsi" w:cstheme="minorHAnsi"/>
                <w:sz w:val="22"/>
                <w:szCs w:val="18"/>
              </w:rPr>
              <w:t>A valued Aboriginal Corporation in the region</w:t>
            </w:r>
          </w:p>
        </w:tc>
        <w:tc>
          <w:tcPr>
            <w:tcW w:w="7371" w:type="dxa"/>
            <w:tcBorders>
              <w:top w:val="single" w:sz="18" w:space="0" w:color="auto"/>
              <w:right w:val="single" w:sz="18" w:space="0" w:color="auto"/>
            </w:tcBorders>
            <w:shd w:val="clear" w:color="auto" w:fill="auto"/>
            <w:vAlign w:val="center"/>
          </w:tcPr>
          <w:p w14:paraId="1A862BAA" w14:textId="0C90C5A9" w:rsidR="00F85E6A" w:rsidRPr="00BA1A39" w:rsidRDefault="00EA315A" w:rsidP="00F85E6A">
            <w:pPr>
              <w:spacing w:after="0"/>
              <w:rPr>
                <w:rFonts w:asciiTheme="minorHAnsi" w:hAnsiTheme="minorHAnsi" w:cstheme="minorHAnsi"/>
                <w:sz w:val="22"/>
                <w:szCs w:val="18"/>
              </w:rPr>
            </w:pPr>
            <w:r>
              <w:rPr>
                <w:rFonts w:asciiTheme="minorHAnsi" w:hAnsiTheme="minorHAnsi" w:cstheme="minorHAnsi"/>
                <w:sz w:val="22"/>
                <w:szCs w:val="18"/>
              </w:rPr>
              <w:t>Corporation m</w:t>
            </w:r>
            <w:r w:rsidR="00F85E6A" w:rsidRPr="00BA1A39">
              <w:rPr>
                <w:rFonts w:asciiTheme="minorHAnsi" w:hAnsiTheme="minorHAnsi" w:cstheme="minorHAnsi"/>
                <w:sz w:val="22"/>
                <w:szCs w:val="18"/>
              </w:rPr>
              <w:t xml:space="preserve">embership increases by at least 10% per annum </w:t>
            </w:r>
          </w:p>
          <w:p w14:paraId="59E6D50D" w14:textId="5F90731A" w:rsidR="00F85E6A" w:rsidRPr="00BA1A39" w:rsidRDefault="00EA315A" w:rsidP="00F85E6A">
            <w:pPr>
              <w:spacing w:after="0"/>
              <w:rPr>
                <w:rFonts w:asciiTheme="minorHAnsi" w:hAnsiTheme="minorHAnsi" w:cstheme="minorHAnsi"/>
                <w:sz w:val="22"/>
                <w:szCs w:val="18"/>
              </w:rPr>
            </w:pPr>
            <w:r>
              <w:rPr>
                <w:rFonts w:asciiTheme="minorHAnsi" w:hAnsiTheme="minorHAnsi" w:cstheme="minorHAnsi"/>
                <w:sz w:val="22"/>
                <w:szCs w:val="18"/>
              </w:rPr>
              <w:t xml:space="preserve">Corporation </w:t>
            </w:r>
            <w:r w:rsidR="00F85E6A" w:rsidRPr="00BA1A39">
              <w:rPr>
                <w:rFonts w:asciiTheme="minorHAnsi" w:hAnsiTheme="minorHAnsi" w:cstheme="minorHAnsi"/>
                <w:sz w:val="22"/>
                <w:szCs w:val="18"/>
              </w:rPr>
              <w:t>membership covers all areas of our portfolio</w:t>
            </w:r>
          </w:p>
        </w:tc>
      </w:tr>
      <w:tr w:rsidR="00F85E6A" w:rsidRPr="00BA1A39" w14:paraId="0F2680EF" w14:textId="77777777" w:rsidTr="00BA1A39">
        <w:tc>
          <w:tcPr>
            <w:tcW w:w="2263" w:type="dxa"/>
            <w:vMerge/>
            <w:tcBorders>
              <w:left w:val="single" w:sz="18" w:space="0" w:color="auto"/>
            </w:tcBorders>
            <w:shd w:val="clear" w:color="auto" w:fill="auto"/>
          </w:tcPr>
          <w:p w14:paraId="6F3DDC22" w14:textId="2A3768E5" w:rsidR="00F85E6A" w:rsidRPr="00BA1A39" w:rsidRDefault="00F85E6A" w:rsidP="00264AB9">
            <w:pPr>
              <w:spacing w:after="0"/>
              <w:rPr>
                <w:rFonts w:asciiTheme="minorHAnsi" w:hAnsiTheme="minorHAnsi" w:cstheme="minorHAnsi"/>
                <w:sz w:val="22"/>
                <w:szCs w:val="18"/>
              </w:rPr>
            </w:pPr>
          </w:p>
        </w:tc>
        <w:tc>
          <w:tcPr>
            <w:tcW w:w="4820" w:type="dxa"/>
            <w:shd w:val="clear" w:color="auto" w:fill="auto"/>
            <w:vAlign w:val="center"/>
          </w:tcPr>
          <w:p w14:paraId="3332E8C2" w14:textId="57608E93" w:rsidR="00F85E6A" w:rsidRPr="00BA1A39" w:rsidRDefault="00F85E6A" w:rsidP="00F85E6A">
            <w:pPr>
              <w:spacing w:after="0"/>
              <w:rPr>
                <w:rFonts w:asciiTheme="minorHAnsi" w:hAnsiTheme="minorHAnsi" w:cstheme="minorHAnsi"/>
                <w:sz w:val="22"/>
                <w:szCs w:val="18"/>
              </w:rPr>
            </w:pPr>
            <w:r w:rsidRPr="00BA1A39">
              <w:rPr>
                <w:rFonts w:asciiTheme="minorHAnsi" w:hAnsiTheme="minorHAnsi" w:cstheme="minorHAnsi"/>
                <w:sz w:val="22"/>
                <w:szCs w:val="18"/>
              </w:rPr>
              <w:t>Increased employment and training opportunities for Aboriginal people</w:t>
            </w:r>
          </w:p>
        </w:tc>
        <w:tc>
          <w:tcPr>
            <w:tcW w:w="7371" w:type="dxa"/>
            <w:tcBorders>
              <w:right w:val="single" w:sz="18" w:space="0" w:color="auto"/>
            </w:tcBorders>
            <w:shd w:val="clear" w:color="auto" w:fill="auto"/>
            <w:vAlign w:val="center"/>
          </w:tcPr>
          <w:p w14:paraId="02F13BCD" w14:textId="006A6110" w:rsidR="00F85E6A" w:rsidRDefault="00F85E6A" w:rsidP="00F85E6A">
            <w:pPr>
              <w:spacing w:after="0"/>
              <w:rPr>
                <w:rFonts w:asciiTheme="minorHAnsi" w:hAnsiTheme="minorHAnsi" w:cstheme="minorHAnsi"/>
                <w:sz w:val="22"/>
                <w:szCs w:val="18"/>
              </w:rPr>
            </w:pPr>
            <w:r w:rsidRPr="00BA1A39">
              <w:rPr>
                <w:rFonts w:asciiTheme="minorHAnsi" w:hAnsiTheme="minorHAnsi" w:cstheme="minorHAnsi"/>
                <w:sz w:val="22"/>
                <w:szCs w:val="18"/>
              </w:rPr>
              <w:t>A minimum of 60% of the Many Rivers team identify as Aboriginal</w:t>
            </w:r>
          </w:p>
          <w:p w14:paraId="694D87FA" w14:textId="77777777" w:rsidR="009619A6" w:rsidRPr="00BA1A39" w:rsidRDefault="009619A6" w:rsidP="009619A6">
            <w:pPr>
              <w:spacing w:after="0"/>
              <w:rPr>
                <w:rFonts w:asciiTheme="minorHAnsi" w:hAnsiTheme="minorHAnsi" w:cstheme="minorHAnsi"/>
                <w:sz w:val="22"/>
                <w:szCs w:val="18"/>
              </w:rPr>
            </w:pPr>
            <w:r w:rsidRPr="00BA1A39">
              <w:rPr>
                <w:rFonts w:asciiTheme="minorHAnsi" w:hAnsiTheme="minorHAnsi" w:cstheme="minorHAnsi"/>
                <w:sz w:val="22"/>
                <w:szCs w:val="18"/>
              </w:rPr>
              <w:t xml:space="preserve">A minimum of two Aboriginal work placements hosted per annum </w:t>
            </w:r>
          </w:p>
          <w:p w14:paraId="5E666DAE" w14:textId="77777777" w:rsidR="009619A6" w:rsidRPr="00BA1A39" w:rsidRDefault="009619A6" w:rsidP="009619A6">
            <w:pPr>
              <w:spacing w:after="0"/>
              <w:rPr>
                <w:rFonts w:asciiTheme="minorHAnsi" w:hAnsiTheme="minorHAnsi" w:cstheme="minorHAnsi"/>
                <w:sz w:val="22"/>
                <w:szCs w:val="18"/>
              </w:rPr>
            </w:pPr>
            <w:r w:rsidRPr="00BA1A39">
              <w:rPr>
                <w:rFonts w:asciiTheme="minorHAnsi" w:hAnsiTheme="minorHAnsi" w:cstheme="minorHAnsi"/>
                <w:sz w:val="22"/>
                <w:szCs w:val="18"/>
              </w:rPr>
              <w:t xml:space="preserve">Aboriginal businesses make up at least 20% of our </w:t>
            </w:r>
            <w:proofErr w:type="gramStart"/>
            <w:r w:rsidRPr="00BA1A39">
              <w:rPr>
                <w:rFonts w:asciiTheme="minorHAnsi" w:hAnsiTheme="minorHAnsi" w:cstheme="minorHAnsi"/>
                <w:sz w:val="22"/>
                <w:szCs w:val="18"/>
              </w:rPr>
              <w:t>trades</w:t>
            </w:r>
            <w:proofErr w:type="gramEnd"/>
            <w:r w:rsidRPr="00BA1A39">
              <w:rPr>
                <w:rFonts w:asciiTheme="minorHAnsi" w:hAnsiTheme="minorHAnsi" w:cstheme="minorHAnsi"/>
                <w:sz w:val="22"/>
                <w:szCs w:val="18"/>
              </w:rPr>
              <w:t xml:space="preserve"> expenditure</w:t>
            </w:r>
          </w:p>
          <w:p w14:paraId="0C1A5578" w14:textId="1A8A84EE" w:rsidR="009619A6" w:rsidRPr="00BA1A39" w:rsidRDefault="009619A6" w:rsidP="00712669">
            <w:pPr>
              <w:rPr>
                <w:rFonts w:asciiTheme="minorHAnsi" w:hAnsiTheme="minorHAnsi" w:cstheme="minorHAnsi"/>
                <w:sz w:val="22"/>
                <w:szCs w:val="18"/>
              </w:rPr>
            </w:pPr>
            <w:r w:rsidRPr="00BA1A39">
              <w:rPr>
                <w:rFonts w:asciiTheme="minorHAnsi" w:hAnsiTheme="minorHAnsi" w:cstheme="minorHAnsi"/>
                <w:sz w:val="22"/>
                <w:szCs w:val="18"/>
              </w:rPr>
              <w:t>Every staff member has a qualification by December 202</w:t>
            </w:r>
            <w:r>
              <w:rPr>
                <w:rFonts w:asciiTheme="minorHAnsi" w:hAnsiTheme="minorHAnsi" w:cstheme="minorHAnsi"/>
                <w:sz w:val="22"/>
                <w:szCs w:val="18"/>
              </w:rPr>
              <w:t>2</w:t>
            </w:r>
          </w:p>
          <w:p w14:paraId="43181D3D" w14:textId="7BB3A7B7" w:rsidR="007424BA" w:rsidRPr="00BA1A39" w:rsidRDefault="009619A6" w:rsidP="00F85E6A">
            <w:pPr>
              <w:spacing w:after="0"/>
              <w:rPr>
                <w:rFonts w:asciiTheme="minorHAnsi" w:hAnsiTheme="minorHAnsi" w:cstheme="minorHAnsi"/>
                <w:sz w:val="22"/>
                <w:szCs w:val="18"/>
              </w:rPr>
            </w:pPr>
            <w:r w:rsidRPr="00032838">
              <w:rPr>
                <w:rFonts w:asciiTheme="minorHAnsi" w:hAnsiTheme="minorHAnsi" w:cstheme="minorHAnsi"/>
                <w:b/>
                <w:bCs/>
                <w:sz w:val="22"/>
                <w:szCs w:val="18"/>
              </w:rPr>
              <w:t>Improvement initiative</w:t>
            </w:r>
            <w:r>
              <w:rPr>
                <w:rFonts w:asciiTheme="minorHAnsi" w:hAnsiTheme="minorHAnsi" w:cstheme="minorHAnsi"/>
                <w:b/>
                <w:bCs/>
                <w:sz w:val="22"/>
                <w:szCs w:val="18"/>
              </w:rPr>
              <w:t>:</w:t>
            </w:r>
            <w:r w:rsidRPr="00BA1A39">
              <w:rPr>
                <w:rFonts w:asciiTheme="minorHAnsi" w:hAnsiTheme="minorHAnsi" w:cstheme="minorHAnsi"/>
                <w:sz w:val="22"/>
                <w:szCs w:val="18"/>
              </w:rPr>
              <w:t xml:space="preserve"> </w:t>
            </w:r>
            <w:r w:rsidR="00F85E6A" w:rsidRPr="00BA1A39">
              <w:rPr>
                <w:rFonts w:asciiTheme="minorHAnsi" w:hAnsiTheme="minorHAnsi" w:cstheme="minorHAnsi"/>
                <w:sz w:val="22"/>
                <w:szCs w:val="18"/>
              </w:rPr>
              <w:t>Two Aboriginal trainees successfully complete traineeships by December 2022</w:t>
            </w:r>
          </w:p>
        </w:tc>
      </w:tr>
      <w:tr w:rsidR="00F85E6A" w:rsidRPr="00BA1A39" w14:paraId="4B7FA25D" w14:textId="77777777" w:rsidTr="00BA1A39">
        <w:tc>
          <w:tcPr>
            <w:tcW w:w="2263" w:type="dxa"/>
            <w:vMerge/>
            <w:tcBorders>
              <w:left w:val="single" w:sz="18" w:space="0" w:color="auto"/>
            </w:tcBorders>
            <w:shd w:val="clear" w:color="auto" w:fill="auto"/>
          </w:tcPr>
          <w:p w14:paraId="0F42D3BC" w14:textId="2A0B0C14" w:rsidR="00F85E6A" w:rsidRPr="00BA1A39" w:rsidRDefault="00F85E6A" w:rsidP="00264AB9">
            <w:pPr>
              <w:spacing w:after="0"/>
              <w:rPr>
                <w:rFonts w:asciiTheme="minorHAnsi" w:hAnsiTheme="minorHAnsi" w:cstheme="minorHAnsi"/>
                <w:sz w:val="22"/>
                <w:szCs w:val="18"/>
              </w:rPr>
            </w:pPr>
          </w:p>
        </w:tc>
        <w:tc>
          <w:tcPr>
            <w:tcW w:w="4820" w:type="dxa"/>
            <w:shd w:val="clear" w:color="auto" w:fill="auto"/>
            <w:vAlign w:val="center"/>
          </w:tcPr>
          <w:p w14:paraId="11C19F6D" w14:textId="63F0D3C3" w:rsidR="00F85E6A" w:rsidRPr="00BA1A39" w:rsidRDefault="00F85E6A" w:rsidP="00F85E6A">
            <w:pPr>
              <w:spacing w:after="0"/>
              <w:rPr>
                <w:rFonts w:asciiTheme="minorHAnsi" w:hAnsiTheme="minorHAnsi" w:cstheme="minorHAnsi"/>
                <w:sz w:val="22"/>
                <w:szCs w:val="18"/>
              </w:rPr>
            </w:pPr>
            <w:r w:rsidRPr="00BA1A39">
              <w:rPr>
                <w:rFonts w:asciiTheme="minorHAnsi" w:hAnsiTheme="minorHAnsi" w:cstheme="minorHAnsi"/>
                <w:sz w:val="22"/>
                <w:szCs w:val="18"/>
              </w:rPr>
              <w:t>Strong, positive public profile</w:t>
            </w:r>
          </w:p>
        </w:tc>
        <w:tc>
          <w:tcPr>
            <w:tcW w:w="7371" w:type="dxa"/>
            <w:tcBorders>
              <w:right w:val="single" w:sz="18" w:space="0" w:color="auto"/>
            </w:tcBorders>
            <w:shd w:val="clear" w:color="auto" w:fill="auto"/>
            <w:vAlign w:val="center"/>
          </w:tcPr>
          <w:p w14:paraId="3711A819" w14:textId="7363A7B0" w:rsidR="00F85E6A" w:rsidRPr="00BA1A39" w:rsidRDefault="00F85E6A" w:rsidP="00F85E6A">
            <w:pPr>
              <w:spacing w:after="0"/>
              <w:rPr>
                <w:rFonts w:asciiTheme="minorHAnsi" w:hAnsiTheme="minorHAnsi" w:cstheme="minorHAnsi"/>
                <w:sz w:val="22"/>
                <w:szCs w:val="18"/>
              </w:rPr>
            </w:pPr>
            <w:r w:rsidRPr="00BA1A39">
              <w:rPr>
                <w:rFonts w:asciiTheme="minorHAnsi" w:hAnsiTheme="minorHAnsi" w:cstheme="minorHAnsi"/>
                <w:sz w:val="22"/>
                <w:szCs w:val="18"/>
              </w:rPr>
              <w:t>A minimum of 10 positive media stories per annum</w:t>
            </w:r>
          </w:p>
          <w:p w14:paraId="155453F6" w14:textId="768407A8" w:rsidR="00F85E6A" w:rsidRPr="00BA1A39" w:rsidRDefault="00F85E6A" w:rsidP="00F85E6A">
            <w:pPr>
              <w:spacing w:after="0"/>
              <w:rPr>
                <w:rFonts w:asciiTheme="minorHAnsi" w:hAnsiTheme="minorHAnsi" w:cstheme="minorHAnsi"/>
                <w:sz w:val="22"/>
                <w:szCs w:val="18"/>
              </w:rPr>
            </w:pPr>
            <w:r w:rsidRPr="00BA1A39">
              <w:rPr>
                <w:rFonts w:asciiTheme="minorHAnsi" w:hAnsiTheme="minorHAnsi" w:cstheme="minorHAnsi"/>
                <w:sz w:val="22"/>
                <w:szCs w:val="18"/>
              </w:rPr>
              <w:t>Participate in a minimum of five sector events per annum</w:t>
            </w:r>
          </w:p>
          <w:p w14:paraId="29DC10AF" w14:textId="2648A77A" w:rsidR="00F85E6A" w:rsidRDefault="00F85E6A" w:rsidP="00F85E6A">
            <w:pPr>
              <w:spacing w:after="0"/>
              <w:rPr>
                <w:rFonts w:asciiTheme="minorHAnsi" w:hAnsiTheme="minorHAnsi" w:cstheme="minorHAnsi"/>
                <w:sz w:val="22"/>
                <w:szCs w:val="18"/>
              </w:rPr>
            </w:pPr>
            <w:r w:rsidRPr="00BA1A39">
              <w:rPr>
                <w:rFonts w:asciiTheme="minorHAnsi" w:hAnsiTheme="minorHAnsi" w:cstheme="minorHAnsi"/>
                <w:sz w:val="22"/>
                <w:szCs w:val="18"/>
              </w:rPr>
              <w:t>&gt;500 Facebook likes</w:t>
            </w:r>
            <w:r w:rsidR="007F6B37" w:rsidRPr="00BA1A39">
              <w:rPr>
                <w:rFonts w:asciiTheme="minorHAnsi" w:hAnsiTheme="minorHAnsi" w:cstheme="minorHAnsi"/>
                <w:sz w:val="22"/>
                <w:szCs w:val="18"/>
              </w:rPr>
              <w:t xml:space="preserve"> by December 2022</w:t>
            </w:r>
          </w:p>
          <w:p w14:paraId="4C4DB81B" w14:textId="5C9CB3E8" w:rsidR="009619A6" w:rsidRDefault="009619A6" w:rsidP="00712669">
            <w:pPr>
              <w:rPr>
                <w:rFonts w:asciiTheme="minorHAnsi" w:hAnsiTheme="minorHAnsi" w:cstheme="minorHAnsi"/>
                <w:sz w:val="22"/>
                <w:szCs w:val="18"/>
              </w:rPr>
            </w:pPr>
            <w:r w:rsidRPr="00BA1A39">
              <w:rPr>
                <w:rFonts w:asciiTheme="minorHAnsi" w:hAnsiTheme="minorHAnsi" w:cstheme="minorHAnsi"/>
                <w:sz w:val="22"/>
                <w:szCs w:val="18"/>
              </w:rPr>
              <w:t>Hold board meetings in partner communities every 6 months</w:t>
            </w:r>
          </w:p>
          <w:p w14:paraId="4C0DE10E" w14:textId="3BA59614" w:rsidR="00F83D6B" w:rsidRPr="00BA1A39" w:rsidRDefault="009619A6" w:rsidP="00F85E6A">
            <w:pPr>
              <w:spacing w:after="0"/>
              <w:rPr>
                <w:rFonts w:asciiTheme="minorHAnsi" w:hAnsiTheme="minorHAnsi" w:cstheme="minorHAnsi"/>
                <w:sz w:val="22"/>
                <w:szCs w:val="18"/>
              </w:rPr>
            </w:pPr>
            <w:r w:rsidRPr="00032838">
              <w:rPr>
                <w:rFonts w:asciiTheme="minorHAnsi" w:hAnsiTheme="minorHAnsi" w:cstheme="minorHAnsi"/>
                <w:b/>
                <w:bCs/>
                <w:sz w:val="22"/>
                <w:szCs w:val="18"/>
              </w:rPr>
              <w:t>Improvement initiative</w:t>
            </w:r>
            <w:r>
              <w:rPr>
                <w:rFonts w:asciiTheme="minorHAnsi" w:hAnsiTheme="minorHAnsi" w:cstheme="minorHAnsi"/>
                <w:b/>
                <w:bCs/>
                <w:sz w:val="22"/>
                <w:szCs w:val="18"/>
              </w:rPr>
              <w:t>:</w:t>
            </w:r>
            <w:r>
              <w:rPr>
                <w:rFonts w:asciiTheme="minorHAnsi" w:hAnsiTheme="minorHAnsi" w:cstheme="minorHAnsi"/>
                <w:sz w:val="22"/>
                <w:szCs w:val="18"/>
              </w:rPr>
              <w:t xml:space="preserve"> </w:t>
            </w:r>
            <w:r w:rsidR="007E0337" w:rsidRPr="00BA1A39">
              <w:rPr>
                <w:rFonts w:asciiTheme="minorHAnsi" w:hAnsiTheme="minorHAnsi" w:cstheme="minorHAnsi"/>
                <w:sz w:val="22"/>
                <w:szCs w:val="18"/>
              </w:rPr>
              <w:t>Complete a re-branding exercise by December 2020</w:t>
            </w:r>
          </w:p>
        </w:tc>
      </w:tr>
      <w:tr w:rsidR="00F85E6A" w:rsidRPr="00BA1A39" w14:paraId="54B32BE1" w14:textId="77777777" w:rsidTr="00924133">
        <w:tc>
          <w:tcPr>
            <w:tcW w:w="2263" w:type="dxa"/>
            <w:vMerge/>
            <w:tcBorders>
              <w:left w:val="single" w:sz="18" w:space="0" w:color="auto"/>
            </w:tcBorders>
            <w:shd w:val="clear" w:color="auto" w:fill="auto"/>
          </w:tcPr>
          <w:p w14:paraId="1DA0DD5E" w14:textId="6C8DAAE4" w:rsidR="00F85E6A" w:rsidRPr="00BA1A39" w:rsidRDefault="00F85E6A" w:rsidP="00264AB9">
            <w:pPr>
              <w:spacing w:after="0"/>
              <w:rPr>
                <w:rFonts w:asciiTheme="minorHAnsi" w:hAnsiTheme="minorHAnsi" w:cstheme="minorHAnsi"/>
                <w:sz w:val="22"/>
                <w:szCs w:val="18"/>
              </w:rPr>
            </w:pPr>
          </w:p>
        </w:tc>
        <w:tc>
          <w:tcPr>
            <w:tcW w:w="4820" w:type="dxa"/>
            <w:shd w:val="clear" w:color="auto" w:fill="auto"/>
          </w:tcPr>
          <w:p w14:paraId="3F591E03" w14:textId="5B2C1270" w:rsidR="00F85E6A" w:rsidRPr="00BA1A39" w:rsidRDefault="00F85E6A" w:rsidP="00264AB9">
            <w:pPr>
              <w:spacing w:after="0"/>
              <w:rPr>
                <w:rFonts w:asciiTheme="minorHAnsi" w:hAnsiTheme="minorHAnsi" w:cstheme="minorHAnsi"/>
                <w:sz w:val="22"/>
                <w:szCs w:val="18"/>
              </w:rPr>
            </w:pPr>
            <w:r w:rsidRPr="00BA1A39">
              <w:rPr>
                <w:rFonts w:asciiTheme="minorHAnsi" w:hAnsiTheme="minorHAnsi" w:cstheme="minorHAnsi"/>
                <w:sz w:val="22"/>
                <w:szCs w:val="18"/>
              </w:rPr>
              <w:t>Many Rivers is a registered provider under the NRSCH</w:t>
            </w:r>
          </w:p>
        </w:tc>
        <w:tc>
          <w:tcPr>
            <w:tcW w:w="7371" w:type="dxa"/>
            <w:tcBorders>
              <w:right w:val="single" w:sz="18" w:space="0" w:color="auto"/>
            </w:tcBorders>
            <w:shd w:val="clear" w:color="auto" w:fill="auto"/>
            <w:vAlign w:val="center"/>
          </w:tcPr>
          <w:p w14:paraId="58E14223" w14:textId="676A7DBD" w:rsidR="00F85E6A" w:rsidRPr="00BA1A39" w:rsidRDefault="00F85E6A" w:rsidP="00924133">
            <w:pPr>
              <w:spacing w:after="0"/>
              <w:rPr>
                <w:rFonts w:asciiTheme="minorHAnsi" w:hAnsiTheme="minorHAnsi" w:cstheme="minorHAnsi"/>
                <w:sz w:val="22"/>
                <w:szCs w:val="18"/>
              </w:rPr>
            </w:pPr>
            <w:r w:rsidRPr="00BA1A39">
              <w:rPr>
                <w:rFonts w:asciiTheme="minorHAnsi" w:hAnsiTheme="minorHAnsi" w:cstheme="minorHAnsi"/>
                <w:sz w:val="22"/>
                <w:szCs w:val="18"/>
              </w:rPr>
              <w:t>Registration achieved by October 2020</w:t>
            </w:r>
          </w:p>
        </w:tc>
      </w:tr>
      <w:tr w:rsidR="00F85E6A" w:rsidRPr="00BA1A39" w14:paraId="620E9C1E" w14:textId="77777777" w:rsidTr="00BA1A39">
        <w:tc>
          <w:tcPr>
            <w:tcW w:w="2263" w:type="dxa"/>
            <w:vMerge/>
            <w:tcBorders>
              <w:left w:val="single" w:sz="18" w:space="0" w:color="auto"/>
            </w:tcBorders>
            <w:shd w:val="clear" w:color="auto" w:fill="auto"/>
          </w:tcPr>
          <w:p w14:paraId="5D67488E" w14:textId="77777777" w:rsidR="00F85E6A" w:rsidRPr="00BA1A39" w:rsidRDefault="00F85E6A" w:rsidP="00264AB9">
            <w:pPr>
              <w:spacing w:after="0"/>
              <w:rPr>
                <w:rFonts w:asciiTheme="minorHAnsi" w:hAnsiTheme="minorHAnsi" w:cstheme="minorHAnsi"/>
                <w:sz w:val="22"/>
                <w:szCs w:val="18"/>
              </w:rPr>
            </w:pPr>
          </w:p>
        </w:tc>
        <w:tc>
          <w:tcPr>
            <w:tcW w:w="4820" w:type="dxa"/>
            <w:shd w:val="clear" w:color="auto" w:fill="auto"/>
            <w:vAlign w:val="center"/>
          </w:tcPr>
          <w:p w14:paraId="5E57575C" w14:textId="2A3A77E1" w:rsidR="00F85E6A" w:rsidRPr="00BA1A39" w:rsidRDefault="00F85E6A" w:rsidP="00F85E6A">
            <w:pPr>
              <w:spacing w:after="0"/>
              <w:rPr>
                <w:rFonts w:asciiTheme="minorHAnsi" w:hAnsiTheme="minorHAnsi" w:cstheme="minorHAnsi"/>
                <w:sz w:val="22"/>
                <w:szCs w:val="18"/>
              </w:rPr>
            </w:pPr>
            <w:r w:rsidRPr="00BA1A39">
              <w:rPr>
                <w:rFonts w:asciiTheme="minorHAnsi" w:hAnsiTheme="minorHAnsi" w:cstheme="minorHAnsi"/>
                <w:sz w:val="22"/>
                <w:szCs w:val="18"/>
              </w:rPr>
              <w:t>A stable and positively engaged workforce</w:t>
            </w:r>
          </w:p>
        </w:tc>
        <w:tc>
          <w:tcPr>
            <w:tcW w:w="7371" w:type="dxa"/>
            <w:tcBorders>
              <w:right w:val="single" w:sz="18" w:space="0" w:color="auto"/>
            </w:tcBorders>
            <w:shd w:val="clear" w:color="auto" w:fill="auto"/>
            <w:vAlign w:val="center"/>
          </w:tcPr>
          <w:p w14:paraId="23A235C5" w14:textId="77777777" w:rsidR="00F85E6A" w:rsidRPr="00BA1A39" w:rsidRDefault="00F85E6A" w:rsidP="00F85E6A">
            <w:pPr>
              <w:spacing w:after="0"/>
              <w:rPr>
                <w:rFonts w:asciiTheme="minorHAnsi" w:hAnsiTheme="minorHAnsi" w:cstheme="minorHAnsi"/>
                <w:sz w:val="22"/>
                <w:szCs w:val="18"/>
              </w:rPr>
            </w:pPr>
            <w:r w:rsidRPr="00BA1A39">
              <w:rPr>
                <w:rFonts w:asciiTheme="minorHAnsi" w:hAnsiTheme="minorHAnsi" w:cstheme="minorHAnsi"/>
                <w:sz w:val="22"/>
                <w:szCs w:val="18"/>
              </w:rPr>
              <w:t>A net promoter score in the annual staf</w:t>
            </w:r>
            <w:bookmarkStart w:id="0" w:name="_GoBack"/>
            <w:bookmarkEnd w:id="0"/>
            <w:r w:rsidRPr="00BA1A39">
              <w:rPr>
                <w:rFonts w:asciiTheme="minorHAnsi" w:hAnsiTheme="minorHAnsi" w:cstheme="minorHAnsi"/>
                <w:sz w:val="22"/>
                <w:szCs w:val="18"/>
              </w:rPr>
              <w:t>f survey</w:t>
            </w:r>
          </w:p>
          <w:p w14:paraId="12AEFF44" w14:textId="77777777" w:rsidR="00F85E6A" w:rsidRPr="00BA1A39" w:rsidRDefault="00F85E6A" w:rsidP="00F85E6A">
            <w:pPr>
              <w:spacing w:after="0"/>
              <w:rPr>
                <w:rFonts w:asciiTheme="minorHAnsi" w:hAnsiTheme="minorHAnsi" w:cstheme="minorHAnsi"/>
                <w:sz w:val="22"/>
                <w:szCs w:val="18"/>
              </w:rPr>
            </w:pPr>
            <w:r w:rsidRPr="00BA1A39">
              <w:rPr>
                <w:rFonts w:asciiTheme="minorHAnsi" w:hAnsiTheme="minorHAnsi" w:cstheme="minorHAnsi"/>
                <w:sz w:val="22"/>
                <w:szCs w:val="18"/>
              </w:rPr>
              <w:t>Staff turnover &lt;15%</w:t>
            </w:r>
          </w:p>
          <w:p w14:paraId="57BF5437" w14:textId="5FEFF748" w:rsidR="007424BA" w:rsidRPr="00BA1A39" w:rsidRDefault="00F85E6A" w:rsidP="00F85E6A">
            <w:pPr>
              <w:spacing w:after="0"/>
              <w:rPr>
                <w:rFonts w:asciiTheme="minorHAnsi" w:hAnsiTheme="minorHAnsi" w:cstheme="minorHAnsi"/>
                <w:sz w:val="22"/>
                <w:szCs w:val="18"/>
              </w:rPr>
            </w:pPr>
            <w:r w:rsidRPr="00BA1A39">
              <w:rPr>
                <w:rFonts w:asciiTheme="minorHAnsi" w:hAnsiTheme="minorHAnsi" w:cstheme="minorHAnsi"/>
                <w:sz w:val="22"/>
                <w:szCs w:val="18"/>
              </w:rPr>
              <w:t>Every staff member engaged in at least one training opportunity per quarter</w:t>
            </w:r>
          </w:p>
        </w:tc>
      </w:tr>
      <w:tr w:rsidR="00F85E6A" w:rsidRPr="00BA1A39" w14:paraId="37C1BAE6" w14:textId="77777777" w:rsidTr="00BA1A39">
        <w:tc>
          <w:tcPr>
            <w:tcW w:w="2263" w:type="dxa"/>
            <w:vMerge/>
            <w:tcBorders>
              <w:left w:val="single" w:sz="18" w:space="0" w:color="auto"/>
              <w:bottom w:val="single" w:sz="18" w:space="0" w:color="auto"/>
            </w:tcBorders>
            <w:shd w:val="clear" w:color="auto" w:fill="auto"/>
            <w:vAlign w:val="center"/>
          </w:tcPr>
          <w:p w14:paraId="553E0955" w14:textId="66B1F598" w:rsidR="00F85E6A" w:rsidRPr="00BA1A39" w:rsidRDefault="00F85E6A" w:rsidP="00F85E6A">
            <w:pPr>
              <w:spacing w:after="0"/>
              <w:rPr>
                <w:rFonts w:asciiTheme="minorHAnsi" w:hAnsiTheme="minorHAnsi" w:cstheme="minorHAnsi"/>
                <w:sz w:val="22"/>
                <w:szCs w:val="18"/>
              </w:rPr>
            </w:pPr>
          </w:p>
        </w:tc>
        <w:tc>
          <w:tcPr>
            <w:tcW w:w="4820" w:type="dxa"/>
            <w:tcBorders>
              <w:bottom w:val="single" w:sz="18" w:space="0" w:color="auto"/>
            </w:tcBorders>
            <w:shd w:val="clear" w:color="auto" w:fill="auto"/>
            <w:vAlign w:val="center"/>
          </w:tcPr>
          <w:p w14:paraId="47F8EE86" w14:textId="3FA11FBE" w:rsidR="00F85E6A" w:rsidRPr="00BA1A39" w:rsidRDefault="00F85E6A" w:rsidP="00F85E6A">
            <w:pPr>
              <w:spacing w:after="0"/>
              <w:rPr>
                <w:rFonts w:asciiTheme="minorHAnsi" w:hAnsiTheme="minorHAnsi" w:cstheme="minorHAnsi"/>
                <w:sz w:val="22"/>
                <w:szCs w:val="18"/>
              </w:rPr>
            </w:pPr>
            <w:r w:rsidRPr="00BA1A39">
              <w:rPr>
                <w:rFonts w:asciiTheme="minorHAnsi" w:hAnsiTheme="minorHAnsi" w:cstheme="minorHAnsi"/>
                <w:sz w:val="22"/>
                <w:szCs w:val="18"/>
              </w:rPr>
              <w:t xml:space="preserve">Strong and effective governance </w:t>
            </w:r>
          </w:p>
        </w:tc>
        <w:tc>
          <w:tcPr>
            <w:tcW w:w="7371" w:type="dxa"/>
            <w:tcBorders>
              <w:bottom w:val="single" w:sz="18" w:space="0" w:color="auto"/>
              <w:right w:val="single" w:sz="18" w:space="0" w:color="auto"/>
            </w:tcBorders>
            <w:shd w:val="clear" w:color="auto" w:fill="auto"/>
            <w:vAlign w:val="center"/>
          </w:tcPr>
          <w:p w14:paraId="229C352C" w14:textId="73247B66" w:rsidR="00F85E6A" w:rsidRPr="00BA1A39" w:rsidRDefault="00F85E6A" w:rsidP="00F85E6A">
            <w:pPr>
              <w:spacing w:after="0"/>
              <w:rPr>
                <w:rFonts w:asciiTheme="minorHAnsi" w:hAnsiTheme="minorHAnsi" w:cstheme="minorHAnsi"/>
                <w:sz w:val="22"/>
                <w:szCs w:val="18"/>
              </w:rPr>
            </w:pPr>
            <w:r w:rsidRPr="00BA1A39">
              <w:rPr>
                <w:rFonts w:asciiTheme="minorHAnsi" w:hAnsiTheme="minorHAnsi" w:cstheme="minorHAnsi"/>
                <w:sz w:val="22"/>
                <w:szCs w:val="18"/>
              </w:rPr>
              <w:t xml:space="preserve">A minimum of </w:t>
            </w:r>
            <w:r w:rsidR="00CB3181" w:rsidRPr="00CB3181">
              <w:rPr>
                <w:rFonts w:asciiTheme="minorHAnsi" w:hAnsiTheme="minorHAnsi" w:cstheme="minorHAnsi"/>
                <w:sz w:val="22"/>
                <w:szCs w:val="18"/>
              </w:rPr>
              <w:t>six</w:t>
            </w:r>
            <w:r w:rsidRPr="00CB3181">
              <w:rPr>
                <w:rFonts w:asciiTheme="minorHAnsi" w:hAnsiTheme="minorHAnsi" w:cstheme="minorHAnsi"/>
                <w:sz w:val="22"/>
                <w:szCs w:val="18"/>
              </w:rPr>
              <w:t xml:space="preserve"> </w:t>
            </w:r>
            <w:r w:rsidRPr="00BA1A39">
              <w:rPr>
                <w:rFonts w:asciiTheme="minorHAnsi" w:hAnsiTheme="minorHAnsi" w:cstheme="minorHAnsi"/>
                <w:sz w:val="22"/>
                <w:szCs w:val="18"/>
              </w:rPr>
              <w:t>board meetings held per annum</w:t>
            </w:r>
          </w:p>
          <w:p w14:paraId="5013DD07" w14:textId="71F5EB24" w:rsidR="00EA315A" w:rsidRPr="00BA1A39" w:rsidRDefault="00EA315A" w:rsidP="00F85E6A">
            <w:pPr>
              <w:spacing w:after="0"/>
              <w:rPr>
                <w:rFonts w:asciiTheme="minorHAnsi" w:hAnsiTheme="minorHAnsi" w:cstheme="minorHAnsi"/>
                <w:sz w:val="22"/>
                <w:szCs w:val="18"/>
              </w:rPr>
            </w:pPr>
            <w:r w:rsidRPr="00795467">
              <w:rPr>
                <w:rFonts w:asciiTheme="minorHAnsi" w:hAnsiTheme="minorHAnsi" w:cstheme="minorHAnsi"/>
                <w:sz w:val="22"/>
                <w:szCs w:val="18"/>
              </w:rPr>
              <w:t>Two independent</w:t>
            </w:r>
            <w:r>
              <w:rPr>
                <w:rFonts w:asciiTheme="minorHAnsi" w:hAnsiTheme="minorHAnsi" w:cstheme="minorHAnsi"/>
                <w:sz w:val="22"/>
                <w:szCs w:val="18"/>
              </w:rPr>
              <w:t>,</w:t>
            </w:r>
            <w:r w:rsidRPr="00795467">
              <w:rPr>
                <w:rFonts w:asciiTheme="minorHAnsi" w:hAnsiTheme="minorHAnsi" w:cstheme="minorHAnsi"/>
                <w:sz w:val="22"/>
                <w:szCs w:val="18"/>
              </w:rPr>
              <w:t xml:space="preserve"> specialist directors</w:t>
            </w:r>
          </w:p>
          <w:p w14:paraId="5E7AA063" w14:textId="454B80B3" w:rsidR="007B00D3" w:rsidRDefault="007B00D3" w:rsidP="00712669">
            <w:pPr>
              <w:rPr>
                <w:rFonts w:asciiTheme="minorHAnsi" w:hAnsiTheme="minorHAnsi" w:cstheme="minorHAnsi"/>
                <w:sz w:val="22"/>
                <w:szCs w:val="18"/>
              </w:rPr>
            </w:pPr>
            <w:r>
              <w:rPr>
                <w:rFonts w:asciiTheme="minorHAnsi" w:hAnsiTheme="minorHAnsi" w:cstheme="minorHAnsi"/>
                <w:sz w:val="22"/>
                <w:szCs w:val="18"/>
              </w:rPr>
              <w:t xml:space="preserve">A minimum of two partners </w:t>
            </w:r>
            <w:r w:rsidR="0003000A">
              <w:rPr>
                <w:rFonts w:asciiTheme="minorHAnsi" w:hAnsiTheme="minorHAnsi" w:cstheme="minorHAnsi"/>
                <w:sz w:val="22"/>
                <w:szCs w:val="18"/>
              </w:rPr>
              <w:t xml:space="preserve">form </w:t>
            </w:r>
            <w:r>
              <w:rPr>
                <w:rFonts w:asciiTheme="minorHAnsi" w:hAnsiTheme="minorHAnsi" w:cstheme="minorHAnsi"/>
                <w:sz w:val="22"/>
                <w:szCs w:val="18"/>
              </w:rPr>
              <w:t>part of membership</w:t>
            </w:r>
          </w:p>
          <w:p w14:paraId="33E3730E" w14:textId="3B284FFB" w:rsidR="009619A6" w:rsidRPr="00BA1A39" w:rsidRDefault="009619A6" w:rsidP="00F85E6A">
            <w:pPr>
              <w:spacing w:after="0"/>
              <w:rPr>
                <w:rFonts w:asciiTheme="minorHAnsi" w:hAnsiTheme="minorHAnsi" w:cstheme="minorHAnsi"/>
                <w:sz w:val="22"/>
                <w:szCs w:val="18"/>
              </w:rPr>
            </w:pPr>
            <w:r w:rsidRPr="00032838">
              <w:rPr>
                <w:rFonts w:asciiTheme="minorHAnsi" w:hAnsiTheme="minorHAnsi" w:cstheme="minorHAnsi"/>
                <w:b/>
                <w:bCs/>
                <w:sz w:val="22"/>
                <w:szCs w:val="18"/>
              </w:rPr>
              <w:t>Improvement initiative</w:t>
            </w:r>
            <w:r>
              <w:rPr>
                <w:rFonts w:asciiTheme="minorHAnsi" w:hAnsiTheme="minorHAnsi" w:cstheme="minorHAnsi"/>
                <w:b/>
                <w:bCs/>
                <w:sz w:val="22"/>
                <w:szCs w:val="18"/>
              </w:rPr>
              <w:t>:</w:t>
            </w:r>
            <w:r>
              <w:rPr>
                <w:rFonts w:asciiTheme="minorHAnsi" w:hAnsiTheme="minorHAnsi" w:cstheme="minorHAnsi"/>
                <w:sz w:val="22"/>
                <w:szCs w:val="18"/>
              </w:rPr>
              <w:t xml:space="preserve"> </w:t>
            </w:r>
            <w:r w:rsidRPr="00BA1A39">
              <w:rPr>
                <w:rFonts w:asciiTheme="minorHAnsi" w:hAnsiTheme="minorHAnsi" w:cstheme="minorHAnsi"/>
                <w:sz w:val="22"/>
                <w:szCs w:val="18"/>
              </w:rPr>
              <w:t xml:space="preserve">A skills-based board </w:t>
            </w:r>
          </w:p>
        </w:tc>
      </w:tr>
    </w:tbl>
    <w:p w14:paraId="0779BFB0" w14:textId="698B6B71" w:rsidR="004C323B" w:rsidRDefault="004C323B" w:rsidP="000411D5"/>
    <w:p w14:paraId="02D1CE5E" w14:textId="77777777" w:rsidR="00924133" w:rsidRDefault="00924133" w:rsidP="000411D5">
      <w:pPr>
        <w:sectPr w:rsidR="00924133" w:rsidSect="001C1833">
          <w:headerReference w:type="first" r:id="rId8"/>
          <w:pgSz w:w="16840" w:h="11900" w:orient="landscape"/>
          <w:pgMar w:top="2552" w:right="1795" w:bottom="1440" w:left="1440" w:header="708" w:footer="1260" w:gutter="0"/>
          <w:cols w:space="708"/>
          <w:titlePg/>
          <w:docGrid w:linePitch="360"/>
        </w:sectPr>
      </w:pPr>
    </w:p>
    <w:p w14:paraId="6D6EE0A1" w14:textId="18EF4E31" w:rsidR="00924133" w:rsidRDefault="00924133" w:rsidP="00924133">
      <w:pPr>
        <w:shd w:val="clear" w:color="auto" w:fill="FFFFFF"/>
        <w:rPr>
          <w:rFonts w:eastAsia="Times New Roman" w:cs="Calibri"/>
          <w:iCs/>
          <w:noProof/>
          <w:color w:val="212121"/>
          <w:bdr w:val="none" w:sz="0" w:space="0" w:color="auto" w:frame="1"/>
          <w:lang w:eastAsia="en-AU"/>
        </w:rPr>
      </w:pPr>
      <w:r>
        <w:rPr>
          <w:rFonts w:eastAsia="Times New Roman" w:cs="Calibri"/>
          <w:iCs/>
          <w:noProof/>
          <w:color w:val="212121"/>
          <w:bdr w:val="none" w:sz="0" w:space="0" w:color="auto" w:frame="1"/>
          <w:lang w:eastAsia="en-AU"/>
        </w:rPr>
        <w:lastRenderedPageBreak/>
        <w:t>Many Rivers Regional Housing Management Services Aboriginal Corporation</w:t>
      </w:r>
    </w:p>
    <w:p w14:paraId="1CA0A0E4" w14:textId="77777777" w:rsidR="00924133" w:rsidRDefault="00924133" w:rsidP="00924133">
      <w:pPr>
        <w:shd w:val="clear" w:color="auto" w:fill="FFFFFF"/>
        <w:rPr>
          <w:rFonts w:eastAsia="Times New Roman" w:cs="Calibri"/>
          <w:iCs/>
          <w:noProof/>
          <w:color w:val="212121"/>
          <w:bdr w:val="none" w:sz="0" w:space="0" w:color="auto" w:frame="1"/>
          <w:lang w:eastAsia="en-AU"/>
        </w:rPr>
      </w:pPr>
    </w:p>
    <w:p w14:paraId="67B4CEB9" w14:textId="1E6B7CD4" w:rsidR="00924133" w:rsidRDefault="00924133" w:rsidP="00924133">
      <w:pPr>
        <w:shd w:val="clear" w:color="auto" w:fill="FFFFFF"/>
        <w:rPr>
          <w:rFonts w:eastAsia="Times New Roman" w:cs="Calibri"/>
          <w:iCs/>
          <w:noProof/>
          <w:color w:val="212121"/>
          <w:bdr w:val="none" w:sz="0" w:space="0" w:color="auto" w:frame="1"/>
          <w:lang w:eastAsia="en-AU"/>
        </w:rPr>
      </w:pPr>
      <w:r>
        <w:rPr>
          <w:rFonts w:eastAsia="Times New Roman" w:cs="Calibri"/>
          <w:iCs/>
          <w:noProof/>
          <w:color w:val="212121"/>
          <w:bdr w:val="none" w:sz="0" w:space="0" w:color="auto" w:frame="1"/>
          <w:lang w:eastAsia="en-AU"/>
        </w:rPr>
        <w:t xml:space="preserve">Suite 2, 66 Lord Street, </w:t>
      </w:r>
    </w:p>
    <w:p w14:paraId="614A269F" w14:textId="74B8918D" w:rsidR="00924133" w:rsidRDefault="00924133" w:rsidP="00924133">
      <w:pPr>
        <w:shd w:val="clear" w:color="auto" w:fill="FFFFFF"/>
        <w:rPr>
          <w:rFonts w:eastAsia="Times New Roman" w:cs="Calibri"/>
          <w:iCs/>
          <w:noProof/>
          <w:color w:val="212121"/>
          <w:bdr w:val="none" w:sz="0" w:space="0" w:color="auto" w:frame="1"/>
          <w:lang w:eastAsia="en-AU"/>
        </w:rPr>
      </w:pPr>
      <w:r>
        <w:rPr>
          <w:rFonts w:eastAsia="Times New Roman" w:cs="Calibri"/>
          <w:iCs/>
          <w:noProof/>
          <w:color w:val="212121"/>
          <w:bdr w:val="none" w:sz="0" w:space="0" w:color="auto" w:frame="1"/>
          <w:lang w:eastAsia="en-AU"/>
        </w:rPr>
        <w:t>Port Macquarie NSW 2444</w:t>
      </w:r>
    </w:p>
    <w:p w14:paraId="2F977AAE" w14:textId="77777777" w:rsidR="00924133" w:rsidRDefault="00924133" w:rsidP="00924133">
      <w:pPr>
        <w:shd w:val="clear" w:color="auto" w:fill="FFFFFF"/>
        <w:rPr>
          <w:rFonts w:eastAsia="Times New Roman" w:cs="Calibri"/>
          <w:iCs/>
          <w:noProof/>
          <w:color w:val="212121"/>
          <w:bdr w:val="none" w:sz="0" w:space="0" w:color="auto" w:frame="1"/>
          <w:lang w:eastAsia="en-AU"/>
        </w:rPr>
      </w:pPr>
    </w:p>
    <w:p w14:paraId="46095CE4" w14:textId="3A169618" w:rsidR="00924133" w:rsidRDefault="00924133" w:rsidP="00924133">
      <w:pPr>
        <w:shd w:val="clear" w:color="auto" w:fill="FFFFFF"/>
        <w:rPr>
          <w:rFonts w:eastAsia="Times New Roman" w:cs="Calibri"/>
          <w:iCs/>
          <w:noProof/>
          <w:color w:val="212121"/>
          <w:bdr w:val="none" w:sz="0" w:space="0" w:color="auto" w:frame="1"/>
          <w:lang w:eastAsia="en-AU"/>
        </w:rPr>
      </w:pPr>
      <w:r>
        <w:rPr>
          <w:rFonts w:eastAsia="Times New Roman" w:cs="Calibri"/>
          <w:iCs/>
          <w:noProof/>
          <w:color w:val="212121"/>
          <w:bdr w:val="none" w:sz="0" w:space="0" w:color="auto" w:frame="1"/>
          <w:lang w:eastAsia="en-AU"/>
        </w:rPr>
        <w:t xml:space="preserve">Phone </w:t>
      </w:r>
      <w:r>
        <w:rPr>
          <w:rFonts w:eastAsia="Times New Roman" w:cs="Calibri"/>
          <w:iCs/>
          <w:noProof/>
          <w:color w:val="212121"/>
          <w:bdr w:val="none" w:sz="0" w:space="0" w:color="auto" w:frame="1"/>
          <w:lang w:eastAsia="en-AU"/>
        </w:rPr>
        <w:tab/>
        <w:t xml:space="preserve">(02) 6562 2576 </w:t>
      </w:r>
    </w:p>
    <w:p w14:paraId="36E9166D" w14:textId="0F88FB5A" w:rsidR="00924133" w:rsidRDefault="00924133" w:rsidP="00924133">
      <w:pPr>
        <w:shd w:val="clear" w:color="auto" w:fill="FFFFFF"/>
        <w:rPr>
          <w:rFonts w:eastAsia="Times New Roman" w:cs="Calibri"/>
          <w:iCs/>
          <w:noProof/>
          <w:color w:val="212121"/>
          <w:bdr w:val="none" w:sz="0" w:space="0" w:color="auto" w:frame="1"/>
          <w:lang w:eastAsia="en-AU"/>
        </w:rPr>
      </w:pPr>
      <w:r>
        <w:rPr>
          <w:rFonts w:eastAsia="Times New Roman" w:cs="Calibri"/>
          <w:iCs/>
          <w:noProof/>
          <w:color w:val="212121"/>
          <w:bdr w:val="none" w:sz="0" w:space="0" w:color="auto" w:frame="1"/>
          <w:lang w:eastAsia="en-AU"/>
        </w:rPr>
        <w:t xml:space="preserve">Fax </w:t>
      </w:r>
      <w:r>
        <w:rPr>
          <w:rFonts w:eastAsia="Times New Roman" w:cs="Calibri"/>
          <w:iCs/>
          <w:noProof/>
          <w:color w:val="212121"/>
          <w:bdr w:val="none" w:sz="0" w:space="0" w:color="auto" w:frame="1"/>
          <w:lang w:eastAsia="en-AU"/>
        </w:rPr>
        <w:tab/>
        <w:t>(02) 6562 7376</w:t>
      </w:r>
    </w:p>
    <w:p w14:paraId="24A5C1AB" w14:textId="554F41C0" w:rsidR="003852C8" w:rsidRDefault="00924133" w:rsidP="00924133">
      <w:r>
        <w:t xml:space="preserve">Email </w:t>
      </w:r>
      <w:r>
        <w:tab/>
      </w:r>
      <w:hyperlink r:id="rId9" w:history="1">
        <w:r w:rsidRPr="00FA073A">
          <w:rPr>
            <w:rStyle w:val="Hyperlink"/>
          </w:rPr>
          <w:t>reception@mrrahms.com.au</w:t>
        </w:r>
      </w:hyperlink>
    </w:p>
    <w:p w14:paraId="660ED482" w14:textId="77777777" w:rsidR="00924133" w:rsidRDefault="00924133" w:rsidP="00924133"/>
    <w:sectPr w:rsidR="00924133" w:rsidSect="00924133">
      <w:pgSz w:w="11900" w:h="16840"/>
      <w:pgMar w:top="1795" w:right="1440" w:bottom="1440" w:left="1418" w:header="708" w:footer="12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040ED" w14:textId="77777777" w:rsidR="00815081" w:rsidRDefault="00815081" w:rsidP="00D30AB5">
      <w:r>
        <w:separator/>
      </w:r>
    </w:p>
  </w:endnote>
  <w:endnote w:type="continuationSeparator" w:id="0">
    <w:p w14:paraId="0A3099E2" w14:textId="77777777" w:rsidR="00815081" w:rsidRDefault="00815081" w:rsidP="00D30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Bold">
    <w:altName w:val="Times New Roman"/>
    <w:charset w:val="00"/>
    <w:family w:val="auto"/>
    <w:pitch w:val="variable"/>
    <w:sig w:usb0="00000001"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A031C" w14:textId="77777777" w:rsidR="00815081" w:rsidRDefault="00815081" w:rsidP="00D30AB5">
      <w:r>
        <w:separator/>
      </w:r>
    </w:p>
  </w:footnote>
  <w:footnote w:type="continuationSeparator" w:id="0">
    <w:p w14:paraId="25007A19" w14:textId="77777777" w:rsidR="00815081" w:rsidRDefault="00815081" w:rsidP="00D30AB5">
      <w:r>
        <w:continuationSeparator/>
      </w:r>
    </w:p>
  </w:footnote>
  <w:footnote w:id="1">
    <w:p w14:paraId="7C537D3D" w14:textId="779D567F" w:rsidR="001D703C" w:rsidRDefault="001D703C">
      <w:pPr>
        <w:pStyle w:val="FootnoteText"/>
      </w:pPr>
      <w:r>
        <w:rPr>
          <w:rStyle w:val="FootnoteReference"/>
        </w:rPr>
        <w:footnoteRef/>
      </w:r>
      <w:r>
        <w:t xml:space="preserve"> National Regulatory System Community Housing Threshold 75%</w:t>
      </w:r>
    </w:p>
  </w:footnote>
  <w:footnote w:id="2">
    <w:p w14:paraId="6666B632" w14:textId="77777777" w:rsidR="001D703C" w:rsidRDefault="001D703C" w:rsidP="001D703C">
      <w:pPr>
        <w:pStyle w:val="FootnoteText"/>
      </w:pPr>
      <w:r>
        <w:rPr>
          <w:rStyle w:val="FootnoteReference"/>
        </w:rPr>
        <w:footnoteRef/>
      </w:r>
      <w:r>
        <w:t xml:space="preserve"> National Regulatory System Community Housing Threshold 75%</w:t>
      </w:r>
    </w:p>
  </w:footnote>
  <w:footnote w:id="3">
    <w:p w14:paraId="3C0D34EA" w14:textId="3688DB59" w:rsidR="001D703C" w:rsidRDefault="001D703C">
      <w:pPr>
        <w:pStyle w:val="FootnoteText"/>
      </w:pPr>
      <w:r>
        <w:rPr>
          <w:rStyle w:val="FootnoteReference"/>
        </w:rPr>
        <w:footnoteRef/>
      </w:r>
      <w:r>
        <w:t xml:space="preserve"> National Regulatory System Community Housing Threshold 70%</w:t>
      </w:r>
    </w:p>
  </w:footnote>
  <w:footnote w:id="4">
    <w:p w14:paraId="396BADDB" w14:textId="69C369F0" w:rsidR="001D703C" w:rsidRDefault="001D703C" w:rsidP="001D703C">
      <w:pPr>
        <w:pStyle w:val="FootnoteText"/>
      </w:pPr>
      <w:r>
        <w:rPr>
          <w:rStyle w:val="FootnoteReference"/>
        </w:rPr>
        <w:footnoteRef/>
      </w:r>
      <w:r>
        <w:t xml:space="preserve"> National Regulatory System Community Housing Threshold 75%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1741F" w14:textId="0CB04E5F" w:rsidR="00F85E6A" w:rsidRDefault="00F85E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D6F47"/>
    <w:multiLevelType w:val="hybridMultilevel"/>
    <w:tmpl w:val="977885B8"/>
    <w:lvl w:ilvl="0" w:tplc="8BB8A0EE">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D05D9"/>
    <w:multiLevelType w:val="hybridMultilevel"/>
    <w:tmpl w:val="0896D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865700"/>
    <w:multiLevelType w:val="hybridMultilevel"/>
    <w:tmpl w:val="DDD82DD4"/>
    <w:lvl w:ilvl="0" w:tplc="A1D25E2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584FEB"/>
    <w:multiLevelType w:val="hybridMultilevel"/>
    <w:tmpl w:val="631C846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18F35F59"/>
    <w:multiLevelType w:val="hybridMultilevel"/>
    <w:tmpl w:val="2DB6F1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653394"/>
    <w:multiLevelType w:val="hybridMultilevel"/>
    <w:tmpl w:val="0896D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782FC0"/>
    <w:multiLevelType w:val="hybridMultilevel"/>
    <w:tmpl w:val="36EC78C8"/>
    <w:lvl w:ilvl="0" w:tplc="54D62F52">
      <w:start w:val="1"/>
      <w:numFmt w:val="bullet"/>
      <w:lvlText w:val="­"/>
      <w:lvlJc w:val="left"/>
      <w:pPr>
        <w:ind w:left="1440" w:hanging="360"/>
      </w:pPr>
      <w:rPr>
        <w:rFonts w:ascii="Calibri Light" w:hAnsi="Calibri Light" w:hint="default"/>
        <w:b/>
        <w:i w:val="0"/>
        <w:sz w:val="21"/>
        <w:u w:color="ED7D31" w:themeColor="accent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E304176"/>
    <w:multiLevelType w:val="hybridMultilevel"/>
    <w:tmpl w:val="8AFE9D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EBA0805"/>
    <w:multiLevelType w:val="hybridMultilevel"/>
    <w:tmpl w:val="A32EA340"/>
    <w:lvl w:ilvl="0" w:tplc="8BB8A0EE">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7031C6"/>
    <w:multiLevelType w:val="hybridMultilevel"/>
    <w:tmpl w:val="56C433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2875C60"/>
    <w:multiLevelType w:val="hybridMultilevel"/>
    <w:tmpl w:val="40F2EBF0"/>
    <w:lvl w:ilvl="0" w:tplc="A1D25E2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4311A8"/>
    <w:multiLevelType w:val="hybridMultilevel"/>
    <w:tmpl w:val="F73433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CF208C4"/>
    <w:multiLevelType w:val="hybridMultilevel"/>
    <w:tmpl w:val="E25C5E46"/>
    <w:lvl w:ilvl="0" w:tplc="54D62F52">
      <w:start w:val="1"/>
      <w:numFmt w:val="bullet"/>
      <w:lvlText w:val="­"/>
      <w:lvlJc w:val="left"/>
      <w:pPr>
        <w:ind w:left="1440" w:hanging="360"/>
      </w:pPr>
      <w:rPr>
        <w:rFonts w:ascii="Calibri Light" w:hAnsi="Calibri Light" w:hint="default"/>
        <w:b/>
        <w:i w:val="0"/>
        <w:sz w:val="21"/>
        <w:u w:color="ED7D31" w:themeColor="accent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1524A97"/>
    <w:multiLevelType w:val="hybridMultilevel"/>
    <w:tmpl w:val="73F85C60"/>
    <w:lvl w:ilvl="0" w:tplc="8BB8A0EE">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2024E8"/>
    <w:multiLevelType w:val="hybridMultilevel"/>
    <w:tmpl w:val="41DC0E12"/>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3696545B"/>
    <w:multiLevelType w:val="hybridMultilevel"/>
    <w:tmpl w:val="45B839B6"/>
    <w:lvl w:ilvl="0" w:tplc="0C09000F">
      <w:start w:val="1"/>
      <w:numFmt w:val="decimal"/>
      <w:lvlText w:val="%1."/>
      <w:lvlJc w:val="left"/>
      <w:pPr>
        <w:ind w:left="360" w:hanging="360"/>
      </w:pPr>
    </w:lvl>
    <w:lvl w:ilvl="1" w:tplc="A1D25E2A">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8B000B2"/>
    <w:multiLevelType w:val="hybridMultilevel"/>
    <w:tmpl w:val="ABC2E2A6"/>
    <w:lvl w:ilvl="0" w:tplc="C186E5B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D6F0021"/>
    <w:multiLevelType w:val="hybridMultilevel"/>
    <w:tmpl w:val="510238A0"/>
    <w:lvl w:ilvl="0" w:tplc="AFCCD9A8">
      <w:start w:val="1"/>
      <w:numFmt w:val="decimal"/>
      <w:pStyle w:val="Subtit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F25733"/>
    <w:multiLevelType w:val="hybridMultilevel"/>
    <w:tmpl w:val="0240A048"/>
    <w:lvl w:ilvl="0" w:tplc="A1D25E2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3A6114"/>
    <w:multiLevelType w:val="hybridMultilevel"/>
    <w:tmpl w:val="3558BB44"/>
    <w:lvl w:ilvl="0" w:tplc="0409000F">
      <w:start w:val="1"/>
      <w:numFmt w:val="decimal"/>
      <w:lvlText w:val="%1."/>
      <w:lvlJc w:val="left"/>
      <w:pPr>
        <w:ind w:left="9433" w:hanging="360"/>
      </w:pPr>
      <w:rPr>
        <w:rFonts w:hint="default"/>
      </w:rPr>
    </w:lvl>
    <w:lvl w:ilvl="1" w:tplc="04090019" w:tentative="1">
      <w:start w:val="1"/>
      <w:numFmt w:val="lowerLetter"/>
      <w:lvlText w:val="%2."/>
      <w:lvlJc w:val="left"/>
      <w:pPr>
        <w:ind w:left="10153" w:hanging="360"/>
      </w:pPr>
    </w:lvl>
    <w:lvl w:ilvl="2" w:tplc="0409001B" w:tentative="1">
      <w:start w:val="1"/>
      <w:numFmt w:val="lowerRoman"/>
      <w:lvlText w:val="%3."/>
      <w:lvlJc w:val="right"/>
      <w:pPr>
        <w:ind w:left="10873" w:hanging="180"/>
      </w:pPr>
    </w:lvl>
    <w:lvl w:ilvl="3" w:tplc="0409000F" w:tentative="1">
      <w:start w:val="1"/>
      <w:numFmt w:val="decimal"/>
      <w:lvlText w:val="%4."/>
      <w:lvlJc w:val="left"/>
      <w:pPr>
        <w:ind w:left="11593" w:hanging="360"/>
      </w:pPr>
    </w:lvl>
    <w:lvl w:ilvl="4" w:tplc="04090019" w:tentative="1">
      <w:start w:val="1"/>
      <w:numFmt w:val="lowerLetter"/>
      <w:lvlText w:val="%5."/>
      <w:lvlJc w:val="left"/>
      <w:pPr>
        <w:ind w:left="12313" w:hanging="360"/>
      </w:pPr>
    </w:lvl>
    <w:lvl w:ilvl="5" w:tplc="0409001B" w:tentative="1">
      <w:start w:val="1"/>
      <w:numFmt w:val="lowerRoman"/>
      <w:lvlText w:val="%6."/>
      <w:lvlJc w:val="right"/>
      <w:pPr>
        <w:ind w:left="13033" w:hanging="180"/>
      </w:pPr>
    </w:lvl>
    <w:lvl w:ilvl="6" w:tplc="0409000F" w:tentative="1">
      <w:start w:val="1"/>
      <w:numFmt w:val="decimal"/>
      <w:lvlText w:val="%7."/>
      <w:lvlJc w:val="left"/>
      <w:pPr>
        <w:ind w:left="13753" w:hanging="360"/>
      </w:pPr>
    </w:lvl>
    <w:lvl w:ilvl="7" w:tplc="04090019" w:tentative="1">
      <w:start w:val="1"/>
      <w:numFmt w:val="lowerLetter"/>
      <w:lvlText w:val="%8."/>
      <w:lvlJc w:val="left"/>
      <w:pPr>
        <w:ind w:left="14473" w:hanging="360"/>
      </w:pPr>
    </w:lvl>
    <w:lvl w:ilvl="8" w:tplc="0409001B" w:tentative="1">
      <w:start w:val="1"/>
      <w:numFmt w:val="lowerRoman"/>
      <w:lvlText w:val="%9."/>
      <w:lvlJc w:val="right"/>
      <w:pPr>
        <w:ind w:left="15193" w:hanging="180"/>
      </w:pPr>
    </w:lvl>
  </w:abstractNum>
  <w:abstractNum w:abstractNumId="20" w15:restartNumberingAfterBreak="0">
    <w:nsid w:val="42545C22"/>
    <w:multiLevelType w:val="hybridMultilevel"/>
    <w:tmpl w:val="0896D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D77EEA"/>
    <w:multiLevelType w:val="hybridMultilevel"/>
    <w:tmpl w:val="307EB58C"/>
    <w:lvl w:ilvl="0" w:tplc="4A54E558">
      <w:start w:val="1"/>
      <w:numFmt w:val="bullet"/>
      <w:lvlText w:val=""/>
      <w:lvlJc w:val="left"/>
      <w:pPr>
        <w:ind w:left="720" w:hanging="360"/>
      </w:pPr>
      <w:rPr>
        <w:rFonts w:ascii="Symbol" w:hAnsi="Symbol" w:hint="default"/>
        <w:color w:val="CD565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6137C"/>
    <w:multiLevelType w:val="hybridMultilevel"/>
    <w:tmpl w:val="0896D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1B7BBD"/>
    <w:multiLevelType w:val="hybridMultilevel"/>
    <w:tmpl w:val="F29E3D36"/>
    <w:lvl w:ilvl="0" w:tplc="0C09000F">
      <w:start w:val="1"/>
      <w:numFmt w:val="decimal"/>
      <w:lvlText w:val="%1."/>
      <w:lvlJc w:val="left"/>
      <w:pPr>
        <w:ind w:left="720" w:hanging="360"/>
      </w:pPr>
    </w:lvl>
    <w:lvl w:ilvl="1" w:tplc="A1D25E2A">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471A024F"/>
    <w:multiLevelType w:val="hybridMultilevel"/>
    <w:tmpl w:val="83F27668"/>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48367D81"/>
    <w:multiLevelType w:val="hybridMultilevel"/>
    <w:tmpl w:val="160C0E70"/>
    <w:lvl w:ilvl="0" w:tplc="A1D25E2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7B2B13"/>
    <w:multiLevelType w:val="hybridMultilevel"/>
    <w:tmpl w:val="62A6F578"/>
    <w:lvl w:ilvl="0" w:tplc="54129DF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A601153"/>
    <w:multiLevelType w:val="hybridMultilevel"/>
    <w:tmpl w:val="5CB87834"/>
    <w:lvl w:ilvl="0" w:tplc="54D62F52">
      <w:start w:val="1"/>
      <w:numFmt w:val="bullet"/>
      <w:lvlText w:val="­"/>
      <w:lvlJc w:val="left"/>
      <w:pPr>
        <w:ind w:left="1440" w:hanging="360"/>
      </w:pPr>
      <w:rPr>
        <w:rFonts w:ascii="Calibri Light" w:hAnsi="Calibri Light" w:hint="default"/>
        <w:b/>
        <w:i w:val="0"/>
        <w:sz w:val="21"/>
        <w:u w:color="ED7D31" w:themeColor="accent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4A8A5035"/>
    <w:multiLevelType w:val="hybridMultilevel"/>
    <w:tmpl w:val="E0444EA8"/>
    <w:lvl w:ilvl="0" w:tplc="54D62F52">
      <w:start w:val="1"/>
      <w:numFmt w:val="bullet"/>
      <w:lvlText w:val="­"/>
      <w:lvlJc w:val="left"/>
      <w:pPr>
        <w:ind w:left="720" w:hanging="360"/>
      </w:pPr>
      <w:rPr>
        <w:rFonts w:ascii="Calibri Light" w:hAnsi="Calibri Light" w:hint="default"/>
        <w:b/>
        <w:i w:val="0"/>
        <w:sz w:val="21"/>
        <w:u w:color="ED7D31" w:themeColor="accent2"/>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BC57983"/>
    <w:multiLevelType w:val="hybridMultilevel"/>
    <w:tmpl w:val="D1BCC2DC"/>
    <w:lvl w:ilvl="0" w:tplc="A1D25E2A">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197610C"/>
    <w:multiLevelType w:val="hybridMultilevel"/>
    <w:tmpl w:val="E33053BA"/>
    <w:lvl w:ilvl="0" w:tplc="54D62F52">
      <w:start w:val="1"/>
      <w:numFmt w:val="bullet"/>
      <w:lvlText w:val="­"/>
      <w:lvlJc w:val="left"/>
      <w:pPr>
        <w:ind w:left="1080" w:hanging="360"/>
      </w:pPr>
      <w:rPr>
        <w:rFonts w:ascii="Calibri Light" w:hAnsi="Calibri Light" w:hint="default"/>
        <w:b/>
        <w:i w:val="0"/>
        <w:sz w:val="21"/>
        <w:u w:color="ED7D31" w:themeColor="accent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548A76CB"/>
    <w:multiLevelType w:val="hybridMultilevel"/>
    <w:tmpl w:val="56C433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5DC1F5E"/>
    <w:multiLevelType w:val="hybridMultilevel"/>
    <w:tmpl w:val="450AE9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C531BE2"/>
    <w:multiLevelType w:val="hybridMultilevel"/>
    <w:tmpl w:val="89F636E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4" w15:restartNumberingAfterBreak="0">
    <w:nsid w:val="5CA6075D"/>
    <w:multiLevelType w:val="hybridMultilevel"/>
    <w:tmpl w:val="362A4B2C"/>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5DE03012"/>
    <w:multiLevelType w:val="hybridMultilevel"/>
    <w:tmpl w:val="6326180E"/>
    <w:lvl w:ilvl="0" w:tplc="E0E8BD7A">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281B0C"/>
    <w:multiLevelType w:val="hybridMultilevel"/>
    <w:tmpl w:val="B128F2AE"/>
    <w:lvl w:ilvl="0" w:tplc="A1D25E2A">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7" w15:restartNumberingAfterBreak="0">
    <w:nsid w:val="62732162"/>
    <w:multiLevelType w:val="hybridMultilevel"/>
    <w:tmpl w:val="A96C193C"/>
    <w:lvl w:ilvl="0" w:tplc="A1D25E2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6A571C"/>
    <w:multiLevelType w:val="hybridMultilevel"/>
    <w:tmpl w:val="24EA70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DE53E65"/>
    <w:multiLevelType w:val="hybridMultilevel"/>
    <w:tmpl w:val="BFDE1BAE"/>
    <w:lvl w:ilvl="0" w:tplc="54D62F52">
      <w:start w:val="1"/>
      <w:numFmt w:val="bullet"/>
      <w:lvlText w:val="­"/>
      <w:lvlJc w:val="left"/>
      <w:pPr>
        <w:ind w:left="720" w:hanging="360"/>
      </w:pPr>
      <w:rPr>
        <w:rFonts w:ascii="Calibri Light" w:hAnsi="Calibri Light" w:hint="default"/>
        <w:b/>
        <w:i w:val="0"/>
        <w:sz w:val="21"/>
        <w:u w:color="ED7D31"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E9F2557"/>
    <w:multiLevelType w:val="hybridMultilevel"/>
    <w:tmpl w:val="5492E5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02B7E05"/>
    <w:multiLevelType w:val="hybridMultilevel"/>
    <w:tmpl w:val="D57A5B3C"/>
    <w:lvl w:ilvl="0" w:tplc="8BB8A0EE">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17625C"/>
    <w:multiLevelType w:val="hybridMultilevel"/>
    <w:tmpl w:val="3606E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FD4F17"/>
    <w:multiLevelType w:val="hybridMultilevel"/>
    <w:tmpl w:val="C6C63E64"/>
    <w:lvl w:ilvl="0" w:tplc="A1D25E2A">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42503D8"/>
    <w:multiLevelType w:val="hybridMultilevel"/>
    <w:tmpl w:val="0896D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FE95E67"/>
    <w:multiLevelType w:val="hybridMultilevel"/>
    <w:tmpl w:val="AD9CB704"/>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num w:numId="1">
    <w:abstractNumId w:val="17"/>
  </w:num>
  <w:num w:numId="2">
    <w:abstractNumId w:val="19"/>
  </w:num>
  <w:num w:numId="3">
    <w:abstractNumId w:val="21"/>
  </w:num>
  <w:num w:numId="4">
    <w:abstractNumId w:val="40"/>
  </w:num>
  <w:num w:numId="5">
    <w:abstractNumId w:val="34"/>
  </w:num>
  <w:num w:numId="6">
    <w:abstractNumId w:val="14"/>
  </w:num>
  <w:num w:numId="7">
    <w:abstractNumId w:val="24"/>
  </w:num>
  <w:num w:numId="8">
    <w:abstractNumId w:val="0"/>
  </w:num>
  <w:num w:numId="9">
    <w:abstractNumId w:val="8"/>
  </w:num>
  <w:num w:numId="10">
    <w:abstractNumId w:val="13"/>
  </w:num>
  <w:num w:numId="11">
    <w:abstractNumId w:val="41"/>
  </w:num>
  <w:num w:numId="12">
    <w:abstractNumId w:val="1"/>
  </w:num>
  <w:num w:numId="13">
    <w:abstractNumId w:val="22"/>
  </w:num>
  <w:num w:numId="14">
    <w:abstractNumId w:val="5"/>
  </w:num>
  <w:num w:numId="15">
    <w:abstractNumId w:val="20"/>
  </w:num>
  <w:num w:numId="16">
    <w:abstractNumId w:val="44"/>
  </w:num>
  <w:num w:numId="17">
    <w:abstractNumId w:val="42"/>
  </w:num>
  <w:num w:numId="18">
    <w:abstractNumId w:val="35"/>
  </w:num>
  <w:num w:numId="19">
    <w:abstractNumId w:val="30"/>
  </w:num>
  <w:num w:numId="20">
    <w:abstractNumId w:val="28"/>
  </w:num>
  <w:num w:numId="21">
    <w:abstractNumId w:val="16"/>
  </w:num>
  <w:num w:numId="22">
    <w:abstractNumId w:val="39"/>
  </w:num>
  <w:num w:numId="23">
    <w:abstractNumId w:val="7"/>
  </w:num>
  <w:num w:numId="24">
    <w:abstractNumId w:val="6"/>
  </w:num>
  <w:num w:numId="25">
    <w:abstractNumId w:val="12"/>
  </w:num>
  <w:num w:numId="26">
    <w:abstractNumId w:val="27"/>
  </w:num>
  <w:num w:numId="27">
    <w:abstractNumId w:val="45"/>
  </w:num>
  <w:num w:numId="28">
    <w:abstractNumId w:val="26"/>
  </w:num>
  <w:num w:numId="29">
    <w:abstractNumId w:val="18"/>
  </w:num>
  <w:num w:numId="30">
    <w:abstractNumId w:val="36"/>
  </w:num>
  <w:num w:numId="31">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1"/>
  </w:num>
  <w:num w:numId="35">
    <w:abstractNumId w:val="11"/>
  </w:num>
  <w:num w:numId="36">
    <w:abstractNumId w:val="4"/>
  </w:num>
  <w:num w:numId="37">
    <w:abstractNumId w:val="15"/>
  </w:num>
  <w:num w:numId="38">
    <w:abstractNumId w:val="37"/>
  </w:num>
  <w:num w:numId="39">
    <w:abstractNumId w:val="9"/>
  </w:num>
  <w:num w:numId="40">
    <w:abstractNumId w:val="2"/>
  </w:num>
  <w:num w:numId="41">
    <w:abstractNumId w:val="43"/>
  </w:num>
  <w:num w:numId="42">
    <w:abstractNumId w:val="32"/>
  </w:num>
  <w:num w:numId="43">
    <w:abstractNumId w:val="38"/>
  </w:num>
  <w:num w:numId="44">
    <w:abstractNumId w:val="29"/>
  </w:num>
  <w:num w:numId="45">
    <w:abstractNumId w:val="10"/>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revisionView w:markup="0"/>
  <w:trackRevisions/>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AB5"/>
    <w:rsid w:val="000021E4"/>
    <w:rsid w:val="00002E47"/>
    <w:rsid w:val="0003000A"/>
    <w:rsid w:val="000368B1"/>
    <w:rsid w:val="00037240"/>
    <w:rsid w:val="000411D5"/>
    <w:rsid w:val="00041743"/>
    <w:rsid w:val="00041F73"/>
    <w:rsid w:val="000520EC"/>
    <w:rsid w:val="00062853"/>
    <w:rsid w:val="000700D2"/>
    <w:rsid w:val="00070EC7"/>
    <w:rsid w:val="00076FAD"/>
    <w:rsid w:val="00085128"/>
    <w:rsid w:val="00086008"/>
    <w:rsid w:val="000A5165"/>
    <w:rsid w:val="000B028F"/>
    <w:rsid w:val="000B77AE"/>
    <w:rsid w:val="000E07F5"/>
    <w:rsid w:val="000E2F30"/>
    <w:rsid w:val="000E46DE"/>
    <w:rsid w:val="000F0944"/>
    <w:rsid w:val="000F2D72"/>
    <w:rsid w:val="000F4BFB"/>
    <w:rsid w:val="00105EC9"/>
    <w:rsid w:val="00106060"/>
    <w:rsid w:val="00120BDF"/>
    <w:rsid w:val="001343F5"/>
    <w:rsid w:val="0013740C"/>
    <w:rsid w:val="00153B47"/>
    <w:rsid w:val="001613D6"/>
    <w:rsid w:val="00173A04"/>
    <w:rsid w:val="00181FE9"/>
    <w:rsid w:val="00183E6F"/>
    <w:rsid w:val="001856AB"/>
    <w:rsid w:val="001B40D6"/>
    <w:rsid w:val="001C1833"/>
    <w:rsid w:val="001D6D2C"/>
    <w:rsid w:val="001D703C"/>
    <w:rsid w:val="0021459F"/>
    <w:rsid w:val="00216F21"/>
    <w:rsid w:val="00230D06"/>
    <w:rsid w:val="00232EB7"/>
    <w:rsid w:val="00246686"/>
    <w:rsid w:val="00264AB9"/>
    <w:rsid w:val="0027156D"/>
    <w:rsid w:val="00284BC1"/>
    <w:rsid w:val="002921DB"/>
    <w:rsid w:val="002927CB"/>
    <w:rsid w:val="002B13F4"/>
    <w:rsid w:val="002C34C0"/>
    <w:rsid w:val="002E4AE0"/>
    <w:rsid w:val="002F1263"/>
    <w:rsid w:val="002F1BFA"/>
    <w:rsid w:val="002F3C25"/>
    <w:rsid w:val="002F5A76"/>
    <w:rsid w:val="00306E02"/>
    <w:rsid w:val="003173D4"/>
    <w:rsid w:val="003248C7"/>
    <w:rsid w:val="00341AF0"/>
    <w:rsid w:val="00346328"/>
    <w:rsid w:val="00361000"/>
    <w:rsid w:val="00362F66"/>
    <w:rsid w:val="00365236"/>
    <w:rsid w:val="003700B9"/>
    <w:rsid w:val="00370777"/>
    <w:rsid w:val="003852C8"/>
    <w:rsid w:val="003B2E96"/>
    <w:rsid w:val="003B5D7F"/>
    <w:rsid w:val="003B7AF7"/>
    <w:rsid w:val="003C2067"/>
    <w:rsid w:val="003D5A0D"/>
    <w:rsid w:val="003E21F9"/>
    <w:rsid w:val="003E72DD"/>
    <w:rsid w:val="003F5578"/>
    <w:rsid w:val="003F7ACC"/>
    <w:rsid w:val="004056BE"/>
    <w:rsid w:val="00406587"/>
    <w:rsid w:val="004140D6"/>
    <w:rsid w:val="004354C0"/>
    <w:rsid w:val="00436AFF"/>
    <w:rsid w:val="00437310"/>
    <w:rsid w:val="00447A16"/>
    <w:rsid w:val="004523F2"/>
    <w:rsid w:val="00457393"/>
    <w:rsid w:val="004604DA"/>
    <w:rsid w:val="004620FB"/>
    <w:rsid w:val="0046660C"/>
    <w:rsid w:val="004741A9"/>
    <w:rsid w:val="00481369"/>
    <w:rsid w:val="004929BE"/>
    <w:rsid w:val="004A11C4"/>
    <w:rsid w:val="004A39CB"/>
    <w:rsid w:val="004A55F1"/>
    <w:rsid w:val="004A666F"/>
    <w:rsid w:val="004B2C62"/>
    <w:rsid w:val="004B7217"/>
    <w:rsid w:val="004C323B"/>
    <w:rsid w:val="004D70F6"/>
    <w:rsid w:val="004D7CE0"/>
    <w:rsid w:val="004E75F3"/>
    <w:rsid w:val="005006DF"/>
    <w:rsid w:val="0050431F"/>
    <w:rsid w:val="005069F5"/>
    <w:rsid w:val="00506A80"/>
    <w:rsid w:val="0050748D"/>
    <w:rsid w:val="00514935"/>
    <w:rsid w:val="005247A3"/>
    <w:rsid w:val="00533503"/>
    <w:rsid w:val="005377E4"/>
    <w:rsid w:val="0054751E"/>
    <w:rsid w:val="00555649"/>
    <w:rsid w:val="00563D36"/>
    <w:rsid w:val="0056487D"/>
    <w:rsid w:val="005712B4"/>
    <w:rsid w:val="0058159D"/>
    <w:rsid w:val="00587941"/>
    <w:rsid w:val="005A4551"/>
    <w:rsid w:val="005B1CB4"/>
    <w:rsid w:val="005B7AF6"/>
    <w:rsid w:val="005D19D9"/>
    <w:rsid w:val="005D6DCA"/>
    <w:rsid w:val="00615C58"/>
    <w:rsid w:val="00617680"/>
    <w:rsid w:val="00624145"/>
    <w:rsid w:val="00630139"/>
    <w:rsid w:val="006466DD"/>
    <w:rsid w:val="00665DE7"/>
    <w:rsid w:val="00672A08"/>
    <w:rsid w:val="00693B77"/>
    <w:rsid w:val="006C1BE0"/>
    <w:rsid w:val="006D6C43"/>
    <w:rsid w:val="006E1E0F"/>
    <w:rsid w:val="006E54F9"/>
    <w:rsid w:val="006F35F1"/>
    <w:rsid w:val="006F387C"/>
    <w:rsid w:val="00700822"/>
    <w:rsid w:val="00700A72"/>
    <w:rsid w:val="00700EFD"/>
    <w:rsid w:val="0070689F"/>
    <w:rsid w:val="0070709F"/>
    <w:rsid w:val="00712669"/>
    <w:rsid w:val="007174CB"/>
    <w:rsid w:val="00720CAB"/>
    <w:rsid w:val="00725A82"/>
    <w:rsid w:val="0073089B"/>
    <w:rsid w:val="007334D4"/>
    <w:rsid w:val="00735D8F"/>
    <w:rsid w:val="007424BA"/>
    <w:rsid w:val="00756844"/>
    <w:rsid w:val="00764C99"/>
    <w:rsid w:val="00765AF4"/>
    <w:rsid w:val="00785666"/>
    <w:rsid w:val="007900B7"/>
    <w:rsid w:val="00792114"/>
    <w:rsid w:val="0079486A"/>
    <w:rsid w:val="00795467"/>
    <w:rsid w:val="00795837"/>
    <w:rsid w:val="007963A9"/>
    <w:rsid w:val="007978D5"/>
    <w:rsid w:val="007A1646"/>
    <w:rsid w:val="007A2813"/>
    <w:rsid w:val="007B00D3"/>
    <w:rsid w:val="007B31F9"/>
    <w:rsid w:val="007C16D3"/>
    <w:rsid w:val="007C7C65"/>
    <w:rsid w:val="007D4E8D"/>
    <w:rsid w:val="007E0337"/>
    <w:rsid w:val="007E515A"/>
    <w:rsid w:val="007F3FA5"/>
    <w:rsid w:val="007F6B37"/>
    <w:rsid w:val="007F6FDF"/>
    <w:rsid w:val="00803A51"/>
    <w:rsid w:val="00815081"/>
    <w:rsid w:val="00820945"/>
    <w:rsid w:val="00836955"/>
    <w:rsid w:val="00841F61"/>
    <w:rsid w:val="008439DF"/>
    <w:rsid w:val="00881AFB"/>
    <w:rsid w:val="00885775"/>
    <w:rsid w:val="00890A76"/>
    <w:rsid w:val="00896F4B"/>
    <w:rsid w:val="008B034D"/>
    <w:rsid w:val="008B2EC4"/>
    <w:rsid w:val="008B6F52"/>
    <w:rsid w:val="008C490F"/>
    <w:rsid w:val="008D358E"/>
    <w:rsid w:val="008E4ED4"/>
    <w:rsid w:val="008F3AC8"/>
    <w:rsid w:val="009132D9"/>
    <w:rsid w:val="00921867"/>
    <w:rsid w:val="00924133"/>
    <w:rsid w:val="009338E5"/>
    <w:rsid w:val="0093522C"/>
    <w:rsid w:val="00937FAB"/>
    <w:rsid w:val="009521AA"/>
    <w:rsid w:val="00956C10"/>
    <w:rsid w:val="009619A6"/>
    <w:rsid w:val="009642BF"/>
    <w:rsid w:val="0096444D"/>
    <w:rsid w:val="009661E0"/>
    <w:rsid w:val="00966D3F"/>
    <w:rsid w:val="00970659"/>
    <w:rsid w:val="009747E4"/>
    <w:rsid w:val="00992297"/>
    <w:rsid w:val="009B36EF"/>
    <w:rsid w:val="009C7890"/>
    <w:rsid w:val="00A01D09"/>
    <w:rsid w:val="00A04D54"/>
    <w:rsid w:val="00A1224B"/>
    <w:rsid w:val="00A57D77"/>
    <w:rsid w:val="00A778EB"/>
    <w:rsid w:val="00A77A14"/>
    <w:rsid w:val="00A82218"/>
    <w:rsid w:val="00A824A5"/>
    <w:rsid w:val="00AA262E"/>
    <w:rsid w:val="00AC3A2F"/>
    <w:rsid w:val="00AD6CD2"/>
    <w:rsid w:val="00AF20A8"/>
    <w:rsid w:val="00B048B5"/>
    <w:rsid w:val="00B177AC"/>
    <w:rsid w:val="00B25923"/>
    <w:rsid w:val="00B31600"/>
    <w:rsid w:val="00B4076A"/>
    <w:rsid w:val="00B4139E"/>
    <w:rsid w:val="00B66CCC"/>
    <w:rsid w:val="00B735DA"/>
    <w:rsid w:val="00B73A75"/>
    <w:rsid w:val="00BA1A39"/>
    <w:rsid w:val="00BA4C54"/>
    <w:rsid w:val="00BB324D"/>
    <w:rsid w:val="00BB7D38"/>
    <w:rsid w:val="00BC624B"/>
    <w:rsid w:val="00BD46CC"/>
    <w:rsid w:val="00BE6A98"/>
    <w:rsid w:val="00BF2D56"/>
    <w:rsid w:val="00BF7380"/>
    <w:rsid w:val="00C022C7"/>
    <w:rsid w:val="00C026B5"/>
    <w:rsid w:val="00C4764A"/>
    <w:rsid w:val="00C52F99"/>
    <w:rsid w:val="00C75B7C"/>
    <w:rsid w:val="00C80E6E"/>
    <w:rsid w:val="00C92414"/>
    <w:rsid w:val="00CB2190"/>
    <w:rsid w:val="00CB3181"/>
    <w:rsid w:val="00CC0DDD"/>
    <w:rsid w:val="00CD1A46"/>
    <w:rsid w:val="00CF7B71"/>
    <w:rsid w:val="00D00DE5"/>
    <w:rsid w:val="00D1144C"/>
    <w:rsid w:val="00D23CD1"/>
    <w:rsid w:val="00D277B7"/>
    <w:rsid w:val="00D30AB5"/>
    <w:rsid w:val="00D51FC2"/>
    <w:rsid w:val="00D670CD"/>
    <w:rsid w:val="00D7524E"/>
    <w:rsid w:val="00D83E42"/>
    <w:rsid w:val="00DA4622"/>
    <w:rsid w:val="00DB3C1E"/>
    <w:rsid w:val="00DB4060"/>
    <w:rsid w:val="00DB4A83"/>
    <w:rsid w:val="00DB7226"/>
    <w:rsid w:val="00DC2056"/>
    <w:rsid w:val="00DD6DFB"/>
    <w:rsid w:val="00DF7CEB"/>
    <w:rsid w:val="00E01BA0"/>
    <w:rsid w:val="00E061C4"/>
    <w:rsid w:val="00E10ACC"/>
    <w:rsid w:val="00E25640"/>
    <w:rsid w:val="00E25912"/>
    <w:rsid w:val="00E328A7"/>
    <w:rsid w:val="00E63594"/>
    <w:rsid w:val="00E66896"/>
    <w:rsid w:val="00E774C3"/>
    <w:rsid w:val="00E831F5"/>
    <w:rsid w:val="00E849A7"/>
    <w:rsid w:val="00E97218"/>
    <w:rsid w:val="00EA315A"/>
    <w:rsid w:val="00EB240C"/>
    <w:rsid w:val="00EC250B"/>
    <w:rsid w:val="00EC5515"/>
    <w:rsid w:val="00ED30FE"/>
    <w:rsid w:val="00EE156D"/>
    <w:rsid w:val="00EE29C7"/>
    <w:rsid w:val="00EE77D1"/>
    <w:rsid w:val="00EF09D5"/>
    <w:rsid w:val="00EF2186"/>
    <w:rsid w:val="00EF70B2"/>
    <w:rsid w:val="00F01F3E"/>
    <w:rsid w:val="00F267FD"/>
    <w:rsid w:val="00F3090D"/>
    <w:rsid w:val="00F31A27"/>
    <w:rsid w:val="00F44E63"/>
    <w:rsid w:val="00F50B66"/>
    <w:rsid w:val="00F66BE8"/>
    <w:rsid w:val="00F81FA0"/>
    <w:rsid w:val="00F8250F"/>
    <w:rsid w:val="00F83D6B"/>
    <w:rsid w:val="00F84700"/>
    <w:rsid w:val="00F85E6A"/>
    <w:rsid w:val="00F90417"/>
    <w:rsid w:val="00F95907"/>
    <w:rsid w:val="00FC3A66"/>
    <w:rsid w:val="00FD4F5F"/>
    <w:rsid w:val="00FD61C3"/>
    <w:rsid w:val="00FE0B00"/>
    <w:rsid w:val="00FF5F8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4F28F50D"/>
  <w15:docId w15:val="{2820C8A2-0D1A-40E1-8DDD-778A6E624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4C323B"/>
    <w:pPr>
      <w:spacing w:after="120"/>
    </w:pPr>
    <w:rPr>
      <w:rFonts w:ascii="Calibri" w:hAnsi="Calibri"/>
    </w:rPr>
  </w:style>
  <w:style w:type="paragraph" w:styleId="Heading1">
    <w:name w:val="heading 1"/>
    <w:basedOn w:val="Normal"/>
    <w:link w:val="Heading1Char"/>
    <w:uiPriority w:val="9"/>
    <w:qFormat/>
    <w:rsid w:val="00E831F5"/>
    <w:pPr>
      <w:spacing w:before="100" w:beforeAutospacing="1" w:after="100" w:afterAutospacing="1"/>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0AB5"/>
    <w:pPr>
      <w:tabs>
        <w:tab w:val="center" w:pos="4513"/>
        <w:tab w:val="right" w:pos="9026"/>
      </w:tabs>
    </w:pPr>
  </w:style>
  <w:style w:type="character" w:customStyle="1" w:styleId="HeaderChar">
    <w:name w:val="Header Char"/>
    <w:basedOn w:val="DefaultParagraphFont"/>
    <w:link w:val="Header"/>
    <w:uiPriority w:val="99"/>
    <w:rsid w:val="00D30AB5"/>
  </w:style>
  <w:style w:type="paragraph" w:styleId="Footer">
    <w:name w:val="footer"/>
    <w:basedOn w:val="Normal"/>
    <w:link w:val="FooterChar"/>
    <w:uiPriority w:val="99"/>
    <w:unhideWhenUsed/>
    <w:rsid w:val="00D30AB5"/>
    <w:pPr>
      <w:tabs>
        <w:tab w:val="center" w:pos="4513"/>
        <w:tab w:val="right" w:pos="9026"/>
      </w:tabs>
    </w:pPr>
  </w:style>
  <w:style w:type="character" w:customStyle="1" w:styleId="FooterChar">
    <w:name w:val="Footer Char"/>
    <w:basedOn w:val="DefaultParagraphFont"/>
    <w:link w:val="Footer"/>
    <w:uiPriority w:val="99"/>
    <w:rsid w:val="00D30AB5"/>
  </w:style>
  <w:style w:type="paragraph" w:customStyle="1" w:styleId="JCACBlackSub">
    <w:name w:val="JCAC Black Sub"/>
    <w:basedOn w:val="Normal"/>
    <w:uiPriority w:val="99"/>
    <w:rsid w:val="00D30AB5"/>
    <w:pPr>
      <w:widowControl w:val="0"/>
      <w:suppressAutoHyphens/>
      <w:autoSpaceDE w:val="0"/>
      <w:autoSpaceDN w:val="0"/>
      <w:adjustRightInd w:val="0"/>
      <w:spacing w:before="113" w:line="288" w:lineRule="auto"/>
      <w:ind w:left="284" w:right="284"/>
      <w:textAlignment w:val="center"/>
    </w:pPr>
    <w:rPr>
      <w:rFonts w:ascii="Calibri-Bold" w:eastAsiaTheme="minorEastAsia" w:hAnsi="Calibri-Bold" w:cs="Calibri-Bold"/>
      <w:b/>
      <w:bCs/>
      <w:color w:val="000000"/>
      <w:sz w:val="20"/>
      <w:szCs w:val="20"/>
      <w:lang w:val="en-US" w:eastAsia="ja-JP"/>
    </w:rPr>
  </w:style>
  <w:style w:type="paragraph" w:customStyle="1" w:styleId="JCACHeading">
    <w:name w:val="JCAC Heading"/>
    <w:basedOn w:val="Normal"/>
    <w:uiPriority w:val="99"/>
    <w:rsid w:val="00D30AB5"/>
    <w:pPr>
      <w:widowControl w:val="0"/>
      <w:suppressAutoHyphens/>
      <w:autoSpaceDE w:val="0"/>
      <w:autoSpaceDN w:val="0"/>
      <w:adjustRightInd w:val="0"/>
      <w:spacing w:after="340" w:line="288" w:lineRule="auto"/>
      <w:textAlignment w:val="center"/>
    </w:pPr>
    <w:rPr>
      <w:rFonts w:ascii="Calibri-Bold" w:eastAsiaTheme="minorEastAsia" w:hAnsi="Calibri-Bold" w:cs="Calibri-Bold"/>
      <w:b/>
      <w:bCs/>
      <w:color w:val="CD5659"/>
      <w:sz w:val="30"/>
      <w:szCs w:val="30"/>
      <w:lang w:val="en-US" w:eastAsia="ja-JP"/>
    </w:rPr>
  </w:style>
  <w:style w:type="paragraph" w:styleId="Title">
    <w:name w:val="Title"/>
    <w:basedOn w:val="JCACHeading"/>
    <w:next w:val="Normal"/>
    <w:link w:val="TitleChar"/>
    <w:uiPriority w:val="10"/>
    <w:qFormat/>
    <w:rsid w:val="00362F66"/>
    <w:pPr>
      <w:jc w:val="center"/>
    </w:pPr>
    <w:rPr>
      <w:sz w:val="40"/>
      <w:szCs w:val="40"/>
    </w:rPr>
  </w:style>
  <w:style w:type="character" w:customStyle="1" w:styleId="TitleChar">
    <w:name w:val="Title Char"/>
    <w:basedOn w:val="DefaultParagraphFont"/>
    <w:link w:val="Title"/>
    <w:uiPriority w:val="10"/>
    <w:rsid w:val="00362F66"/>
    <w:rPr>
      <w:rFonts w:ascii="Calibri-Bold" w:eastAsiaTheme="minorEastAsia" w:hAnsi="Calibri-Bold" w:cs="Calibri-Bold"/>
      <w:b/>
      <w:bCs/>
      <w:color w:val="CD5659"/>
      <w:sz w:val="40"/>
      <w:szCs w:val="40"/>
      <w:lang w:val="en-US" w:eastAsia="ja-JP"/>
    </w:rPr>
  </w:style>
  <w:style w:type="paragraph" w:customStyle="1" w:styleId="JCACHeadingBullet">
    <w:name w:val="JCAC Heading Bullet"/>
    <w:basedOn w:val="Normal"/>
    <w:uiPriority w:val="99"/>
    <w:rsid w:val="00362F66"/>
    <w:pPr>
      <w:widowControl w:val="0"/>
      <w:pBdr>
        <w:bottom w:val="dotted" w:sz="4" w:space="8" w:color="000000"/>
      </w:pBdr>
      <w:tabs>
        <w:tab w:val="left" w:pos="280"/>
      </w:tabs>
      <w:suppressAutoHyphens/>
      <w:autoSpaceDE w:val="0"/>
      <w:autoSpaceDN w:val="0"/>
      <w:adjustRightInd w:val="0"/>
      <w:spacing w:before="283" w:after="100" w:afterAutospacing="1" w:line="288" w:lineRule="auto"/>
      <w:textAlignment w:val="center"/>
    </w:pPr>
    <w:rPr>
      <w:rFonts w:ascii="Calibri-Bold" w:eastAsiaTheme="minorEastAsia" w:hAnsi="Calibri-Bold" w:cs="Calibri-Bold"/>
      <w:b/>
      <w:bCs/>
      <w:color w:val="CD5659"/>
      <w:sz w:val="22"/>
      <w:szCs w:val="22"/>
      <w:lang w:val="en-US" w:eastAsia="ja-JP"/>
    </w:rPr>
  </w:style>
  <w:style w:type="paragraph" w:styleId="ListParagraph">
    <w:name w:val="List Paragraph"/>
    <w:aliases w:val="Bullet Paragraph"/>
    <w:basedOn w:val="Normal"/>
    <w:link w:val="ListParagraphChar"/>
    <w:uiPriority w:val="34"/>
    <w:qFormat/>
    <w:rsid w:val="00362F66"/>
    <w:pPr>
      <w:spacing w:after="160" w:line="259" w:lineRule="auto"/>
      <w:ind w:left="720"/>
      <w:contextualSpacing/>
    </w:pPr>
    <w:rPr>
      <w:sz w:val="22"/>
      <w:szCs w:val="22"/>
      <w:lang w:val="en-US"/>
    </w:rPr>
  </w:style>
  <w:style w:type="paragraph" w:styleId="Subtitle">
    <w:name w:val="Subtitle"/>
    <w:basedOn w:val="ListParagraph"/>
    <w:next w:val="Normal"/>
    <w:link w:val="SubtitleChar"/>
    <w:uiPriority w:val="11"/>
    <w:qFormat/>
    <w:rsid w:val="00362F66"/>
    <w:pPr>
      <w:numPr>
        <w:numId w:val="1"/>
      </w:numPr>
    </w:pPr>
    <w:rPr>
      <w:color w:val="AB1500"/>
      <w:sz w:val="28"/>
      <w:szCs w:val="28"/>
    </w:rPr>
  </w:style>
  <w:style w:type="character" w:customStyle="1" w:styleId="SubtitleChar">
    <w:name w:val="Subtitle Char"/>
    <w:basedOn w:val="DefaultParagraphFont"/>
    <w:link w:val="Subtitle"/>
    <w:uiPriority w:val="11"/>
    <w:rsid w:val="00362F66"/>
    <w:rPr>
      <w:rFonts w:ascii="Calibri" w:hAnsi="Calibri"/>
      <w:color w:val="AB1500"/>
      <w:sz w:val="28"/>
      <w:szCs w:val="28"/>
      <w:lang w:val="en-US"/>
    </w:rPr>
  </w:style>
  <w:style w:type="table" w:styleId="TableGrid">
    <w:name w:val="Table Grid"/>
    <w:basedOn w:val="TableNormal"/>
    <w:uiPriority w:val="59"/>
    <w:rsid w:val="00362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D8F"/>
    <w:rPr>
      <w:rFonts w:ascii="Calibri" w:hAnsi="Calibri"/>
    </w:rPr>
  </w:style>
  <w:style w:type="paragraph" w:styleId="Quote">
    <w:name w:val="Quote"/>
    <w:aliases w:val="Introduction or Pull Quote"/>
    <w:next w:val="Normal"/>
    <w:link w:val="QuoteChar"/>
    <w:uiPriority w:val="29"/>
    <w:qFormat/>
    <w:rsid w:val="000A5165"/>
    <w:pPr>
      <w:spacing w:after="200"/>
    </w:pPr>
    <w:rPr>
      <w:rFonts w:asciiTheme="majorHAnsi" w:eastAsiaTheme="majorEastAsia" w:hAnsiTheme="majorHAnsi" w:cstheme="majorBidi"/>
      <w:color w:val="F68B2D"/>
      <w:spacing w:val="5"/>
      <w:kern w:val="28"/>
      <w:sz w:val="28"/>
      <w:lang w:val="en-US"/>
    </w:rPr>
  </w:style>
  <w:style w:type="character" w:customStyle="1" w:styleId="QuoteChar">
    <w:name w:val="Quote Char"/>
    <w:aliases w:val="Introduction or Pull Quote Char"/>
    <w:basedOn w:val="DefaultParagraphFont"/>
    <w:link w:val="Quote"/>
    <w:uiPriority w:val="29"/>
    <w:rsid w:val="000A5165"/>
    <w:rPr>
      <w:rFonts w:asciiTheme="majorHAnsi" w:eastAsiaTheme="majorEastAsia" w:hAnsiTheme="majorHAnsi" w:cstheme="majorBidi"/>
      <w:color w:val="F68B2D"/>
      <w:spacing w:val="5"/>
      <w:kern w:val="28"/>
      <w:sz w:val="28"/>
      <w:lang w:val="en-US"/>
    </w:rPr>
  </w:style>
  <w:style w:type="paragraph" w:styleId="BalloonText">
    <w:name w:val="Balloon Text"/>
    <w:basedOn w:val="Normal"/>
    <w:link w:val="BalloonTextChar"/>
    <w:uiPriority w:val="99"/>
    <w:semiHidden/>
    <w:unhideWhenUsed/>
    <w:rsid w:val="000700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0D2"/>
    <w:rPr>
      <w:rFonts w:ascii="Segoe UI" w:hAnsi="Segoe UI" w:cs="Segoe UI"/>
      <w:sz w:val="18"/>
      <w:szCs w:val="18"/>
    </w:rPr>
  </w:style>
  <w:style w:type="character" w:customStyle="1" w:styleId="Heading1Char">
    <w:name w:val="Heading 1 Char"/>
    <w:basedOn w:val="DefaultParagraphFont"/>
    <w:link w:val="Heading1"/>
    <w:uiPriority w:val="9"/>
    <w:rsid w:val="00E831F5"/>
    <w:rPr>
      <w:rFonts w:ascii="Times New Roman" w:eastAsia="Times New Roman" w:hAnsi="Times New Roman" w:cs="Times New Roman"/>
      <w:b/>
      <w:bCs/>
      <w:kern w:val="36"/>
      <w:sz w:val="48"/>
      <w:szCs w:val="48"/>
      <w:lang w:eastAsia="en-AU"/>
    </w:rPr>
  </w:style>
  <w:style w:type="table" w:styleId="ListTable3-Accent2">
    <w:name w:val="List Table 3 Accent 2"/>
    <w:basedOn w:val="TableNormal"/>
    <w:uiPriority w:val="48"/>
    <w:rsid w:val="008B034D"/>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character" w:customStyle="1" w:styleId="ListParagraphChar">
    <w:name w:val="List Paragraph Char"/>
    <w:aliases w:val="Bullet Paragraph Char"/>
    <w:basedOn w:val="DefaultParagraphFont"/>
    <w:link w:val="ListParagraph"/>
    <w:uiPriority w:val="34"/>
    <w:rsid w:val="00C80E6E"/>
    <w:rPr>
      <w:rFonts w:ascii="Calibri" w:hAnsi="Calibri"/>
      <w:sz w:val="22"/>
      <w:szCs w:val="22"/>
      <w:lang w:val="en-US"/>
    </w:rPr>
  </w:style>
  <w:style w:type="character" w:styleId="Hyperlink">
    <w:name w:val="Hyperlink"/>
    <w:basedOn w:val="DefaultParagraphFont"/>
    <w:uiPriority w:val="99"/>
    <w:unhideWhenUsed/>
    <w:rsid w:val="00514935"/>
    <w:rPr>
      <w:color w:val="0563C1" w:themeColor="hyperlink"/>
      <w:u w:val="single"/>
    </w:rPr>
  </w:style>
  <w:style w:type="character" w:customStyle="1" w:styleId="UnresolvedMention1">
    <w:name w:val="Unresolved Mention1"/>
    <w:basedOn w:val="DefaultParagraphFont"/>
    <w:uiPriority w:val="99"/>
    <w:semiHidden/>
    <w:unhideWhenUsed/>
    <w:rsid w:val="00514935"/>
    <w:rPr>
      <w:color w:val="605E5C"/>
      <w:shd w:val="clear" w:color="auto" w:fill="E1DFDD"/>
    </w:rPr>
  </w:style>
  <w:style w:type="paragraph" w:styleId="PlainText">
    <w:name w:val="Plain Text"/>
    <w:basedOn w:val="Normal"/>
    <w:link w:val="PlainTextChar"/>
    <w:uiPriority w:val="99"/>
    <w:unhideWhenUsed/>
    <w:rsid w:val="00CF7B71"/>
    <w:pPr>
      <w:spacing w:after="0"/>
    </w:pPr>
    <w:rPr>
      <w:sz w:val="22"/>
      <w:szCs w:val="21"/>
    </w:rPr>
  </w:style>
  <w:style w:type="character" w:customStyle="1" w:styleId="PlainTextChar">
    <w:name w:val="Plain Text Char"/>
    <w:basedOn w:val="DefaultParagraphFont"/>
    <w:link w:val="PlainText"/>
    <w:uiPriority w:val="99"/>
    <w:rsid w:val="00CF7B71"/>
    <w:rPr>
      <w:rFonts w:ascii="Calibri" w:hAnsi="Calibri"/>
      <w:sz w:val="22"/>
      <w:szCs w:val="21"/>
    </w:rPr>
  </w:style>
  <w:style w:type="character" w:styleId="CommentReference">
    <w:name w:val="annotation reference"/>
    <w:basedOn w:val="DefaultParagraphFont"/>
    <w:uiPriority w:val="99"/>
    <w:semiHidden/>
    <w:unhideWhenUsed/>
    <w:rsid w:val="00181FE9"/>
    <w:rPr>
      <w:sz w:val="16"/>
      <w:szCs w:val="16"/>
    </w:rPr>
  </w:style>
  <w:style w:type="paragraph" w:styleId="CommentText">
    <w:name w:val="annotation text"/>
    <w:basedOn w:val="Normal"/>
    <w:link w:val="CommentTextChar"/>
    <w:uiPriority w:val="99"/>
    <w:unhideWhenUsed/>
    <w:rsid w:val="00181FE9"/>
    <w:rPr>
      <w:sz w:val="20"/>
      <w:szCs w:val="20"/>
    </w:rPr>
  </w:style>
  <w:style w:type="character" w:customStyle="1" w:styleId="CommentTextChar">
    <w:name w:val="Comment Text Char"/>
    <w:basedOn w:val="DefaultParagraphFont"/>
    <w:link w:val="CommentText"/>
    <w:uiPriority w:val="99"/>
    <w:rsid w:val="00181FE9"/>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181FE9"/>
    <w:rPr>
      <w:b/>
      <w:bCs/>
    </w:rPr>
  </w:style>
  <w:style w:type="character" w:customStyle="1" w:styleId="CommentSubjectChar">
    <w:name w:val="Comment Subject Char"/>
    <w:basedOn w:val="CommentTextChar"/>
    <w:link w:val="CommentSubject"/>
    <w:uiPriority w:val="99"/>
    <w:semiHidden/>
    <w:rsid w:val="00181FE9"/>
    <w:rPr>
      <w:rFonts w:ascii="Calibri" w:hAnsi="Calibri"/>
      <w:b/>
      <w:bCs/>
      <w:sz w:val="20"/>
      <w:szCs w:val="20"/>
    </w:rPr>
  </w:style>
  <w:style w:type="paragraph" w:customStyle="1" w:styleId="HangIndent0">
    <w:name w:val="HangIndent_0"/>
    <w:basedOn w:val="Normal"/>
    <w:rsid w:val="001343F5"/>
    <w:pPr>
      <w:overflowPunct w:val="0"/>
      <w:autoSpaceDE w:val="0"/>
      <w:autoSpaceDN w:val="0"/>
      <w:adjustRightInd w:val="0"/>
      <w:spacing w:after="240"/>
      <w:ind w:left="567" w:hanging="567"/>
      <w:jc w:val="both"/>
      <w:textAlignment w:val="baseline"/>
    </w:pPr>
    <w:rPr>
      <w:rFonts w:ascii="Times New Roman" w:eastAsia="Times New Roman" w:hAnsi="Times New Roman" w:cs="Times New Roman"/>
      <w:b/>
      <w:szCs w:val="20"/>
    </w:rPr>
  </w:style>
  <w:style w:type="paragraph" w:customStyle="1" w:styleId="HangIndent1">
    <w:name w:val="HangIndent_1"/>
    <w:basedOn w:val="Normal"/>
    <w:rsid w:val="001343F5"/>
    <w:pPr>
      <w:overflowPunct w:val="0"/>
      <w:autoSpaceDE w:val="0"/>
      <w:autoSpaceDN w:val="0"/>
      <w:adjustRightInd w:val="0"/>
      <w:spacing w:after="240"/>
      <w:ind w:left="1134" w:hanging="567"/>
      <w:textAlignment w:val="baseline"/>
    </w:pPr>
    <w:rPr>
      <w:rFonts w:ascii="Times New Roman" w:eastAsia="Times New Roman" w:hAnsi="Times New Roman" w:cs="Times New Roman"/>
      <w:sz w:val="26"/>
      <w:szCs w:val="20"/>
    </w:rPr>
  </w:style>
  <w:style w:type="paragraph" w:customStyle="1" w:styleId="Default">
    <w:name w:val="Default"/>
    <w:rsid w:val="000368B1"/>
    <w:pPr>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3852C8"/>
    <w:pPr>
      <w:spacing w:before="100" w:beforeAutospacing="1" w:after="100" w:afterAutospacing="1"/>
    </w:pPr>
    <w:rPr>
      <w:rFonts w:cs="Calibri"/>
      <w:sz w:val="22"/>
      <w:szCs w:val="22"/>
      <w:lang w:eastAsia="en-AU"/>
    </w:rPr>
  </w:style>
  <w:style w:type="paragraph" w:styleId="FootnoteText">
    <w:name w:val="footnote text"/>
    <w:basedOn w:val="Normal"/>
    <w:link w:val="FootnoteTextChar"/>
    <w:uiPriority w:val="99"/>
    <w:semiHidden/>
    <w:unhideWhenUsed/>
    <w:rsid w:val="00D7524E"/>
    <w:pPr>
      <w:spacing w:after="0"/>
    </w:pPr>
    <w:rPr>
      <w:sz w:val="20"/>
      <w:szCs w:val="20"/>
    </w:rPr>
  </w:style>
  <w:style w:type="character" w:customStyle="1" w:styleId="FootnoteTextChar">
    <w:name w:val="Footnote Text Char"/>
    <w:basedOn w:val="DefaultParagraphFont"/>
    <w:link w:val="FootnoteText"/>
    <w:uiPriority w:val="99"/>
    <w:semiHidden/>
    <w:rsid w:val="00D7524E"/>
    <w:rPr>
      <w:rFonts w:ascii="Calibri" w:hAnsi="Calibri"/>
      <w:sz w:val="20"/>
      <w:szCs w:val="20"/>
    </w:rPr>
  </w:style>
  <w:style w:type="character" w:styleId="FootnoteReference">
    <w:name w:val="footnote reference"/>
    <w:basedOn w:val="DefaultParagraphFont"/>
    <w:uiPriority w:val="99"/>
    <w:semiHidden/>
    <w:unhideWhenUsed/>
    <w:rsid w:val="00D7524E"/>
    <w:rPr>
      <w:vertAlign w:val="superscript"/>
    </w:rPr>
  </w:style>
  <w:style w:type="character" w:styleId="UnresolvedMention">
    <w:name w:val="Unresolved Mention"/>
    <w:basedOn w:val="DefaultParagraphFont"/>
    <w:uiPriority w:val="99"/>
    <w:rsid w:val="009241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12331">
      <w:bodyDiv w:val="1"/>
      <w:marLeft w:val="0"/>
      <w:marRight w:val="0"/>
      <w:marTop w:val="0"/>
      <w:marBottom w:val="0"/>
      <w:divBdr>
        <w:top w:val="none" w:sz="0" w:space="0" w:color="auto"/>
        <w:left w:val="none" w:sz="0" w:space="0" w:color="auto"/>
        <w:bottom w:val="none" w:sz="0" w:space="0" w:color="auto"/>
        <w:right w:val="none" w:sz="0" w:space="0" w:color="auto"/>
      </w:divBdr>
      <w:divsChild>
        <w:div w:id="4482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5374082">
              <w:marLeft w:val="0"/>
              <w:marRight w:val="0"/>
              <w:marTop w:val="0"/>
              <w:marBottom w:val="0"/>
              <w:divBdr>
                <w:top w:val="none" w:sz="0" w:space="0" w:color="auto"/>
                <w:left w:val="none" w:sz="0" w:space="0" w:color="auto"/>
                <w:bottom w:val="none" w:sz="0" w:space="0" w:color="auto"/>
                <w:right w:val="none" w:sz="0" w:space="0" w:color="auto"/>
              </w:divBdr>
              <w:divsChild>
                <w:div w:id="181209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94155">
      <w:bodyDiv w:val="1"/>
      <w:marLeft w:val="0"/>
      <w:marRight w:val="0"/>
      <w:marTop w:val="0"/>
      <w:marBottom w:val="0"/>
      <w:divBdr>
        <w:top w:val="none" w:sz="0" w:space="0" w:color="auto"/>
        <w:left w:val="none" w:sz="0" w:space="0" w:color="auto"/>
        <w:bottom w:val="none" w:sz="0" w:space="0" w:color="auto"/>
        <w:right w:val="none" w:sz="0" w:space="0" w:color="auto"/>
      </w:divBdr>
    </w:div>
    <w:div w:id="511997630">
      <w:bodyDiv w:val="1"/>
      <w:marLeft w:val="0"/>
      <w:marRight w:val="0"/>
      <w:marTop w:val="0"/>
      <w:marBottom w:val="0"/>
      <w:divBdr>
        <w:top w:val="none" w:sz="0" w:space="0" w:color="auto"/>
        <w:left w:val="none" w:sz="0" w:space="0" w:color="auto"/>
        <w:bottom w:val="none" w:sz="0" w:space="0" w:color="auto"/>
        <w:right w:val="none" w:sz="0" w:space="0" w:color="auto"/>
      </w:divBdr>
    </w:div>
    <w:div w:id="516577236">
      <w:bodyDiv w:val="1"/>
      <w:marLeft w:val="0"/>
      <w:marRight w:val="0"/>
      <w:marTop w:val="0"/>
      <w:marBottom w:val="0"/>
      <w:divBdr>
        <w:top w:val="none" w:sz="0" w:space="0" w:color="auto"/>
        <w:left w:val="none" w:sz="0" w:space="0" w:color="auto"/>
        <w:bottom w:val="none" w:sz="0" w:space="0" w:color="auto"/>
        <w:right w:val="none" w:sz="0" w:space="0" w:color="auto"/>
      </w:divBdr>
    </w:div>
    <w:div w:id="537201330">
      <w:bodyDiv w:val="1"/>
      <w:marLeft w:val="0"/>
      <w:marRight w:val="0"/>
      <w:marTop w:val="0"/>
      <w:marBottom w:val="0"/>
      <w:divBdr>
        <w:top w:val="none" w:sz="0" w:space="0" w:color="auto"/>
        <w:left w:val="none" w:sz="0" w:space="0" w:color="auto"/>
        <w:bottom w:val="none" w:sz="0" w:space="0" w:color="auto"/>
        <w:right w:val="none" w:sz="0" w:space="0" w:color="auto"/>
      </w:divBdr>
    </w:div>
    <w:div w:id="934173608">
      <w:bodyDiv w:val="1"/>
      <w:marLeft w:val="0"/>
      <w:marRight w:val="0"/>
      <w:marTop w:val="0"/>
      <w:marBottom w:val="0"/>
      <w:divBdr>
        <w:top w:val="none" w:sz="0" w:space="0" w:color="auto"/>
        <w:left w:val="none" w:sz="0" w:space="0" w:color="auto"/>
        <w:bottom w:val="none" w:sz="0" w:space="0" w:color="auto"/>
        <w:right w:val="none" w:sz="0" w:space="0" w:color="auto"/>
      </w:divBdr>
    </w:div>
    <w:div w:id="994604177">
      <w:bodyDiv w:val="1"/>
      <w:marLeft w:val="0"/>
      <w:marRight w:val="0"/>
      <w:marTop w:val="0"/>
      <w:marBottom w:val="0"/>
      <w:divBdr>
        <w:top w:val="none" w:sz="0" w:space="0" w:color="auto"/>
        <w:left w:val="none" w:sz="0" w:space="0" w:color="auto"/>
        <w:bottom w:val="none" w:sz="0" w:space="0" w:color="auto"/>
        <w:right w:val="none" w:sz="0" w:space="0" w:color="auto"/>
      </w:divBdr>
    </w:div>
    <w:div w:id="1003824860">
      <w:bodyDiv w:val="1"/>
      <w:marLeft w:val="0"/>
      <w:marRight w:val="0"/>
      <w:marTop w:val="0"/>
      <w:marBottom w:val="0"/>
      <w:divBdr>
        <w:top w:val="none" w:sz="0" w:space="0" w:color="auto"/>
        <w:left w:val="none" w:sz="0" w:space="0" w:color="auto"/>
        <w:bottom w:val="none" w:sz="0" w:space="0" w:color="auto"/>
        <w:right w:val="none" w:sz="0" w:space="0" w:color="auto"/>
      </w:divBdr>
    </w:div>
    <w:div w:id="1010107808">
      <w:bodyDiv w:val="1"/>
      <w:marLeft w:val="0"/>
      <w:marRight w:val="0"/>
      <w:marTop w:val="0"/>
      <w:marBottom w:val="0"/>
      <w:divBdr>
        <w:top w:val="none" w:sz="0" w:space="0" w:color="auto"/>
        <w:left w:val="none" w:sz="0" w:space="0" w:color="auto"/>
        <w:bottom w:val="none" w:sz="0" w:space="0" w:color="auto"/>
        <w:right w:val="none" w:sz="0" w:space="0" w:color="auto"/>
      </w:divBdr>
      <w:divsChild>
        <w:div w:id="713581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662766">
              <w:marLeft w:val="0"/>
              <w:marRight w:val="0"/>
              <w:marTop w:val="0"/>
              <w:marBottom w:val="0"/>
              <w:divBdr>
                <w:top w:val="none" w:sz="0" w:space="0" w:color="auto"/>
                <w:left w:val="none" w:sz="0" w:space="0" w:color="auto"/>
                <w:bottom w:val="none" w:sz="0" w:space="0" w:color="auto"/>
                <w:right w:val="none" w:sz="0" w:space="0" w:color="auto"/>
              </w:divBdr>
              <w:divsChild>
                <w:div w:id="204670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632645">
      <w:bodyDiv w:val="1"/>
      <w:marLeft w:val="0"/>
      <w:marRight w:val="0"/>
      <w:marTop w:val="0"/>
      <w:marBottom w:val="0"/>
      <w:divBdr>
        <w:top w:val="none" w:sz="0" w:space="0" w:color="auto"/>
        <w:left w:val="none" w:sz="0" w:space="0" w:color="auto"/>
        <w:bottom w:val="none" w:sz="0" w:space="0" w:color="auto"/>
        <w:right w:val="none" w:sz="0" w:space="0" w:color="auto"/>
      </w:divBdr>
    </w:div>
    <w:div w:id="1231230384">
      <w:bodyDiv w:val="1"/>
      <w:marLeft w:val="0"/>
      <w:marRight w:val="0"/>
      <w:marTop w:val="0"/>
      <w:marBottom w:val="0"/>
      <w:divBdr>
        <w:top w:val="none" w:sz="0" w:space="0" w:color="auto"/>
        <w:left w:val="none" w:sz="0" w:space="0" w:color="auto"/>
        <w:bottom w:val="none" w:sz="0" w:space="0" w:color="auto"/>
        <w:right w:val="none" w:sz="0" w:space="0" w:color="auto"/>
      </w:divBdr>
    </w:div>
    <w:div w:id="1297492598">
      <w:bodyDiv w:val="1"/>
      <w:marLeft w:val="0"/>
      <w:marRight w:val="0"/>
      <w:marTop w:val="0"/>
      <w:marBottom w:val="0"/>
      <w:divBdr>
        <w:top w:val="none" w:sz="0" w:space="0" w:color="auto"/>
        <w:left w:val="none" w:sz="0" w:space="0" w:color="auto"/>
        <w:bottom w:val="none" w:sz="0" w:space="0" w:color="auto"/>
        <w:right w:val="none" w:sz="0" w:space="0" w:color="auto"/>
      </w:divBdr>
    </w:div>
    <w:div w:id="1429623260">
      <w:bodyDiv w:val="1"/>
      <w:marLeft w:val="0"/>
      <w:marRight w:val="0"/>
      <w:marTop w:val="0"/>
      <w:marBottom w:val="0"/>
      <w:divBdr>
        <w:top w:val="none" w:sz="0" w:space="0" w:color="auto"/>
        <w:left w:val="none" w:sz="0" w:space="0" w:color="auto"/>
        <w:bottom w:val="none" w:sz="0" w:space="0" w:color="auto"/>
        <w:right w:val="none" w:sz="0" w:space="0" w:color="auto"/>
      </w:divBdr>
      <w:divsChild>
        <w:div w:id="857504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251311">
              <w:marLeft w:val="0"/>
              <w:marRight w:val="0"/>
              <w:marTop w:val="0"/>
              <w:marBottom w:val="0"/>
              <w:divBdr>
                <w:top w:val="none" w:sz="0" w:space="0" w:color="auto"/>
                <w:left w:val="none" w:sz="0" w:space="0" w:color="auto"/>
                <w:bottom w:val="none" w:sz="0" w:space="0" w:color="auto"/>
                <w:right w:val="none" w:sz="0" w:space="0" w:color="auto"/>
              </w:divBdr>
              <w:divsChild>
                <w:div w:id="194715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844085">
      <w:bodyDiv w:val="1"/>
      <w:marLeft w:val="0"/>
      <w:marRight w:val="0"/>
      <w:marTop w:val="0"/>
      <w:marBottom w:val="0"/>
      <w:divBdr>
        <w:top w:val="none" w:sz="0" w:space="0" w:color="auto"/>
        <w:left w:val="none" w:sz="0" w:space="0" w:color="auto"/>
        <w:bottom w:val="none" w:sz="0" w:space="0" w:color="auto"/>
        <w:right w:val="none" w:sz="0" w:space="0" w:color="auto"/>
      </w:divBdr>
    </w:div>
    <w:div w:id="1842507039">
      <w:bodyDiv w:val="1"/>
      <w:marLeft w:val="0"/>
      <w:marRight w:val="0"/>
      <w:marTop w:val="0"/>
      <w:marBottom w:val="0"/>
      <w:divBdr>
        <w:top w:val="none" w:sz="0" w:space="0" w:color="auto"/>
        <w:left w:val="none" w:sz="0" w:space="0" w:color="auto"/>
        <w:bottom w:val="none" w:sz="0" w:space="0" w:color="auto"/>
        <w:right w:val="none" w:sz="0" w:space="0" w:color="auto"/>
      </w:divBdr>
    </w:div>
    <w:div w:id="1943611444">
      <w:bodyDiv w:val="1"/>
      <w:marLeft w:val="0"/>
      <w:marRight w:val="0"/>
      <w:marTop w:val="0"/>
      <w:marBottom w:val="0"/>
      <w:divBdr>
        <w:top w:val="none" w:sz="0" w:space="0" w:color="auto"/>
        <w:left w:val="none" w:sz="0" w:space="0" w:color="auto"/>
        <w:bottom w:val="none" w:sz="0" w:space="0" w:color="auto"/>
        <w:right w:val="none" w:sz="0" w:space="0" w:color="auto"/>
      </w:divBdr>
    </w:div>
    <w:div w:id="20866808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ception@mrrahm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CFCA274-29FA-4A1F-8777-71D76426A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Julalikari Aboriginal Corporation</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Atchison</dc:creator>
  <cp:keywords/>
  <dc:description/>
  <cp:lastModifiedBy>Megan Lawrance</cp:lastModifiedBy>
  <cp:revision>2</cp:revision>
  <cp:lastPrinted>2019-11-17T22:07:00Z</cp:lastPrinted>
  <dcterms:created xsi:type="dcterms:W3CDTF">2020-03-26T22:59:00Z</dcterms:created>
  <dcterms:modified xsi:type="dcterms:W3CDTF">2020-03-26T22:59:00Z</dcterms:modified>
</cp:coreProperties>
</file>